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A150C">
      <w:pPr>
        <w:spacing w:line="720" w:lineRule="auto"/>
        <w:ind w:right="420" w:firstLine="560"/>
        <w:rPr>
          <w:rFonts w:ascii="黑体" w:hAnsi="黑体" w:eastAsia="黑体" w:cs="黑体"/>
          <w:bCs/>
          <w:sz w:val="28"/>
          <w:szCs w:val="28"/>
          <w:highlight w:val="none"/>
        </w:rPr>
      </w:pPr>
    </w:p>
    <w:p w14:paraId="4116A46D">
      <w:pPr>
        <w:widowControl/>
        <w:spacing w:line="240" w:lineRule="auto"/>
        <w:ind w:firstLine="560"/>
        <w:jc w:val="left"/>
        <w:rPr>
          <w:rFonts w:hint="eastAsia" w:ascii="黑体" w:hAnsi="黑体" w:eastAsia="黑体" w:cs="黑体"/>
          <w:bCs/>
          <w:sz w:val="28"/>
          <w:szCs w:val="28"/>
          <w:highlight w:val="none"/>
        </w:rPr>
      </w:pPr>
      <w:r>
        <w:rPr>
          <w:rFonts w:hint="eastAsia" w:ascii="黑体" w:hAnsi="黑体" w:eastAsia="黑体" w:cs="黑体"/>
          <w:bCs/>
          <w:sz w:val="28"/>
          <w:szCs w:val="28"/>
          <w:highlight w:val="none"/>
        </w:rPr>
        <w:t>合同编号：</w:t>
      </w:r>
    </w:p>
    <w:p w14:paraId="1CAEB25B">
      <w:pPr>
        <w:spacing w:line="720" w:lineRule="auto"/>
        <w:ind w:firstLine="422"/>
        <w:rPr>
          <w:rFonts w:ascii="宋体" w:hAnsi="宋体" w:cs="仿宋"/>
          <w:b/>
          <w:highlight w:val="none"/>
          <w:u w:val="single"/>
        </w:rPr>
      </w:pPr>
    </w:p>
    <w:p w14:paraId="1A66FCE1">
      <w:pPr>
        <w:spacing w:line="720" w:lineRule="auto"/>
        <w:ind w:firstLine="0" w:firstLineChars="0"/>
        <w:jc w:val="center"/>
        <w:rPr>
          <w:rFonts w:hint="eastAsia" w:ascii="黑体" w:hAnsi="黑体" w:eastAsia="黑体" w:cs="黑体"/>
          <w:b/>
          <w:sz w:val="44"/>
          <w:szCs w:val="44"/>
          <w:highlight w:val="none"/>
          <w:lang w:val="en-US" w:eastAsia="zh-CN"/>
        </w:rPr>
      </w:pPr>
      <w:bookmarkStart w:id="0" w:name="_Toc24811"/>
      <w:bookmarkStart w:id="1" w:name="_Toc742"/>
      <w:r>
        <w:rPr>
          <w:rFonts w:hint="eastAsia" w:ascii="黑体" w:hAnsi="黑体" w:eastAsia="黑体" w:cs="黑体"/>
          <w:b/>
          <w:sz w:val="44"/>
          <w:szCs w:val="44"/>
          <w:highlight w:val="none"/>
        </w:rPr>
        <w:t>合同</w:t>
      </w:r>
      <w:bookmarkEnd w:id="0"/>
      <w:bookmarkEnd w:id="1"/>
      <w:r>
        <w:rPr>
          <w:rFonts w:hint="eastAsia" w:ascii="黑体" w:hAnsi="黑体" w:eastAsia="黑体" w:cs="黑体"/>
          <w:b/>
          <w:sz w:val="44"/>
          <w:szCs w:val="44"/>
          <w:highlight w:val="none"/>
          <w:lang w:val="en-US" w:eastAsia="zh-CN"/>
        </w:rPr>
        <w:t>名称</w:t>
      </w:r>
      <w:bookmarkStart w:id="57" w:name="_GoBack"/>
      <w:bookmarkEnd w:id="57"/>
    </w:p>
    <w:p w14:paraId="7BFFF6E9">
      <w:pPr>
        <w:ind w:left="-283" w:leftChars="-135" w:firstLine="527" w:firstLineChars="250"/>
        <w:rPr>
          <w:rFonts w:ascii="宋体" w:hAnsi="宋体" w:cs="仿宋"/>
          <w:b/>
          <w:highlight w:val="none"/>
        </w:rPr>
      </w:pPr>
    </w:p>
    <w:p w14:paraId="25B04B2C">
      <w:pPr>
        <w:ind w:firstLine="420"/>
        <w:rPr>
          <w:rFonts w:ascii="宋体" w:hAnsi="宋体" w:eastAsia="宋体" w:cs="仿宋"/>
          <w:highlight w:val="none"/>
        </w:rPr>
      </w:pPr>
    </w:p>
    <w:p w14:paraId="77409AA4">
      <w:pPr>
        <w:ind w:left="-283" w:leftChars="-135" w:firstLine="525" w:firstLineChars="250"/>
        <w:rPr>
          <w:rFonts w:ascii="宋体" w:hAnsi="宋体" w:cs="仿宋"/>
          <w:highlight w:val="none"/>
        </w:rPr>
      </w:pPr>
    </w:p>
    <w:p w14:paraId="0479869C">
      <w:pPr>
        <w:ind w:firstLine="0" w:firstLineChars="0"/>
        <w:rPr>
          <w:rFonts w:ascii="宋体" w:hAnsi="宋体" w:cs="仿宋"/>
          <w:highlight w:val="none"/>
        </w:rPr>
      </w:pPr>
    </w:p>
    <w:p w14:paraId="452DBA0E">
      <w:pPr>
        <w:spacing w:line="480" w:lineRule="auto"/>
        <w:ind w:firstLine="602"/>
        <w:rPr>
          <w:rFonts w:ascii="黑体" w:hAnsi="黑体" w:eastAsia="黑体" w:cs="黑体"/>
          <w:b/>
          <w:sz w:val="30"/>
          <w:szCs w:val="30"/>
          <w:highlight w:val="none"/>
        </w:rPr>
      </w:pPr>
    </w:p>
    <w:p w14:paraId="529017C0">
      <w:pPr>
        <w:spacing w:line="480" w:lineRule="auto"/>
        <w:ind w:left="420" w:leftChars="200" w:firstLine="602"/>
        <w:rPr>
          <w:rFonts w:ascii="黑体" w:hAnsi="黑体" w:eastAsia="黑体" w:cs="黑体"/>
          <w:b/>
          <w:sz w:val="30"/>
          <w:szCs w:val="30"/>
          <w:highlight w:val="none"/>
        </w:rPr>
      </w:pPr>
      <w:r>
        <w:rPr>
          <w:rFonts w:hint="eastAsia" w:ascii="黑体" w:hAnsi="黑体" w:eastAsia="黑体" w:cs="黑体"/>
          <w:b/>
          <w:sz w:val="30"/>
          <w:szCs w:val="30"/>
          <w:highlight w:val="none"/>
        </w:rPr>
        <w:t>发包人（甲方）：</w:t>
      </w:r>
    </w:p>
    <w:p w14:paraId="01BD5E86">
      <w:pPr>
        <w:spacing w:line="480" w:lineRule="auto"/>
        <w:ind w:left="420" w:leftChars="200" w:firstLine="602"/>
        <w:rPr>
          <w:rFonts w:ascii="黑体" w:hAnsi="黑体" w:eastAsia="黑体" w:cs="黑体"/>
          <w:b/>
          <w:sz w:val="30"/>
          <w:szCs w:val="30"/>
          <w:highlight w:val="none"/>
        </w:rPr>
      </w:pPr>
      <w:r>
        <w:rPr>
          <w:rFonts w:hint="eastAsia" w:ascii="黑体" w:hAnsi="黑体" w:eastAsia="黑体" w:cs="黑体"/>
          <w:b/>
          <w:sz w:val="30"/>
          <w:szCs w:val="30"/>
          <w:highlight w:val="none"/>
        </w:rPr>
        <w:t>分包人（乙方）：</w:t>
      </w:r>
    </w:p>
    <w:p w14:paraId="0F096895">
      <w:pPr>
        <w:spacing w:line="480" w:lineRule="auto"/>
        <w:ind w:left="420" w:leftChars="200" w:firstLine="602"/>
        <w:rPr>
          <w:rFonts w:hint="eastAsia" w:ascii="黑体" w:hAnsi="黑体" w:eastAsia="黑体" w:cs="黑体"/>
          <w:b/>
          <w:sz w:val="30"/>
          <w:szCs w:val="30"/>
          <w:highlight w:val="none"/>
          <w:lang w:val="en-US" w:eastAsia="zh-CN"/>
        </w:rPr>
      </w:pPr>
      <w:r>
        <w:rPr>
          <w:rFonts w:hint="eastAsia" w:ascii="黑体" w:hAnsi="黑体" w:eastAsia="黑体" w:cs="黑体"/>
          <w:b/>
          <w:sz w:val="30"/>
          <w:szCs w:val="30"/>
          <w:highlight w:val="none"/>
        </w:rPr>
        <w:t>签约地点：</w:t>
      </w:r>
    </w:p>
    <w:p w14:paraId="1FB23DE0">
      <w:pPr>
        <w:spacing w:line="480" w:lineRule="auto"/>
        <w:ind w:left="420" w:leftChars="200" w:firstLine="602"/>
        <w:rPr>
          <w:rFonts w:ascii="黑体" w:hAnsi="黑体" w:eastAsia="黑体" w:cs="黑体"/>
          <w:b/>
          <w:sz w:val="30"/>
          <w:szCs w:val="30"/>
          <w:highlight w:val="none"/>
        </w:rPr>
      </w:pPr>
      <w:r>
        <w:rPr>
          <w:rFonts w:hint="eastAsia" w:ascii="黑体" w:hAnsi="黑体" w:eastAsia="黑体" w:cs="黑体"/>
          <w:b/>
          <w:sz w:val="30"/>
          <w:szCs w:val="30"/>
          <w:highlight w:val="none"/>
        </w:rPr>
        <w:t>签约时间：</w:t>
      </w:r>
      <w:sdt>
        <w:sdtPr>
          <w:rPr>
            <w:rFonts w:hint="eastAsia" w:ascii="黑体" w:hAnsi="黑体" w:eastAsia="黑体" w:cs="黑体"/>
            <w:b/>
            <w:kern w:val="2"/>
            <w:sz w:val="30"/>
            <w:szCs w:val="30"/>
            <w:highlight w:val="none"/>
            <w:lang w:val="en-US" w:eastAsia="zh-CN" w:bidi="ar-SA"/>
          </w:rPr>
          <w:id w:val="147459542"/>
          <w:placeholder>
            <w:docPart w:val="{f8b3e269-3db0-4c2d-9058-95643b4814fa}"/>
          </w:placeholder>
          <w:dataBinding w:xpath="/一闪流溢[1]/签约时间[1]" w:storeItemID="{34e2400a-2040-400b-8499-67bc057ee36d}"/>
          <w:text/>
        </w:sdtPr>
        <w:sdtEndPr>
          <w:rPr>
            <w:rFonts w:hint="eastAsia" w:ascii="黑体" w:hAnsi="黑体" w:eastAsia="黑体" w:cs="黑体"/>
            <w:b/>
            <w:kern w:val="2"/>
            <w:sz w:val="30"/>
            <w:szCs w:val="30"/>
            <w:highlight w:val="none"/>
            <w:lang w:val="en-US" w:eastAsia="zh-CN" w:bidi="ar-SA"/>
          </w:rPr>
        </w:sdtEndPr>
        <w:sdtContent>
          <w:r>
            <w:rPr>
              <w:rFonts w:hint="eastAsia" w:ascii="黑体" w:hAnsi="黑体" w:eastAsia="黑体" w:cs="黑体"/>
              <w:b/>
              <w:kern w:val="2"/>
              <w:sz w:val="30"/>
              <w:szCs w:val="30"/>
              <w:highlight w:val="none"/>
              <w:lang w:val="en-US" w:eastAsia="zh-CN" w:bidi="ar-SA"/>
            </w:rPr>
            <w:t xml:space="preserve">    年    月   日</w:t>
          </w:r>
        </w:sdtContent>
      </w:sdt>
    </w:p>
    <w:p w14:paraId="13FC774B">
      <w:pPr>
        <w:spacing w:line="480" w:lineRule="auto"/>
        <w:ind w:left="420" w:leftChars="200" w:firstLine="602"/>
        <w:rPr>
          <w:rFonts w:ascii="黑体" w:hAnsi="黑体" w:eastAsia="黑体" w:cs="黑体"/>
          <w:b/>
          <w:sz w:val="30"/>
          <w:szCs w:val="30"/>
          <w:highlight w:val="none"/>
        </w:rPr>
      </w:pPr>
    </w:p>
    <w:p w14:paraId="57794592">
      <w:pPr>
        <w:spacing w:line="480" w:lineRule="auto"/>
        <w:ind w:left="420" w:leftChars="200" w:firstLine="602"/>
        <w:rPr>
          <w:rFonts w:ascii="黑体" w:hAnsi="黑体" w:eastAsia="黑体" w:cs="黑体"/>
          <w:b/>
          <w:sz w:val="30"/>
          <w:szCs w:val="30"/>
          <w:highlight w:val="none"/>
        </w:rPr>
        <w:sectPr>
          <w:pgSz w:w="11906" w:h="16838"/>
          <w:pgMar w:top="1440" w:right="1800" w:bottom="1440" w:left="1800" w:header="851" w:footer="992" w:gutter="0"/>
          <w:cols w:space="425" w:num="1"/>
          <w:docGrid w:type="lines" w:linePitch="312" w:charSpace="0"/>
        </w:sectPr>
      </w:pPr>
    </w:p>
    <w:p w14:paraId="626EDD42">
      <w:pPr>
        <w:spacing w:before="156" w:beforeLines="50" w:after="312" w:afterLines="100" w:line="360" w:lineRule="auto"/>
        <w:ind w:firstLine="0" w:firstLineChars="0"/>
        <w:jc w:val="center"/>
        <w:outlineLvl w:val="0"/>
        <w:rPr>
          <w:rFonts w:ascii="黑体" w:hAnsi="黑体" w:eastAsia="黑体" w:cs="黑体"/>
          <w:b/>
          <w:bCs/>
          <w:sz w:val="30"/>
          <w:szCs w:val="30"/>
          <w:highlight w:val="none"/>
        </w:rPr>
      </w:pPr>
      <w:bookmarkStart w:id="2" w:name="_Toc8250"/>
      <w:sdt>
        <w:sdtPr>
          <w:rPr>
            <w:rFonts w:hint="eastAsia" w:ascii="黑体" w:hAnsi="黑体" w:eastAsia="黑体" w:cs="黑体"/>
            <w:b/>
            <w:bCs/>
            <w:kern w:val="2"/>
            <w:sz w:val="30"/>
            <w:szCs w:val="30"/>
            <w:highlight w:val="none"/>
            <w:lang w:val="en-US" w:eastAsia="zh-CN" w:bidi="ar-SA"/>
          </w:rPr>
          <w:id w:val="147475940"/>
          <w:placeholder>
            <w:docPart w:val="{087018a1-e26c-43a7-90a3-189f24754853}"/>
          </w:placeholder>
          <w:dataBinding w:xpath="/一闪流溢[1]/承包方式[1]" w:storeItemID="{34e2400a-2040-400b-8499-67bc057ee36d}"/>
          <w:text/>
        </w:sdtPr>
        <w:sdtEndPr>
          <w:rPr>
            <w:rFonts w:hint="eastAsia" w:ascii="黑体" w:hAnsi="黑体" w:eastAsia="黑体" w:cs="黑体"/>
            <w:b/>
            <w:bCs/>
            <w:kern w:val="2"/>
            <w:sz w:val="30"/>
            <w:szCs w:val="30"/>
            <w:highlight w:val="none"/>
            <w:lang w:val="en-US" w:eastAsia="zh-CN" w:bidi="ar-SA"/>
          </w:rPr>
        </w:sdtEndPr>
        <w:sdtContent>
          <w:r>
            <w:rPr>
              <w:rFonts w:hint="eastAsia" w:ascii="黑体" w:hAnsi="黑体" w:eastAsia="黑体" w:cs="黑体"/>
              <w:b/>
              <w:bCs/>
              <w:sz w:val="30"/>
              <w:szCs w:val="30"/>
              <w:highlight w:val="none"/>
              <w:lang w:eastAsia="zh-CN"/>
            </w:rPr>
            <w:t>劳务分包</w:t>
          </w:r>
        </w:sdtContent>
      </w:sdt>
      <w:r>
        <w:rPr>
          <w:rFonts w:hint="eastAsia" w:ascii="黑体" w:hAnsi="黑体" w:eastAsia="黑体" w:cs="黑体"/>
          <w:b/>
          <w:bCs/>
          <w:sz w:val="30"/>
          <w:szCs w:val="30"/>
          <w:highlight w:val="none"/>
        </w:rPr>
        <w:t>合同</w:t>
      </w:r>
      <w:bookmarkEnd w:id="2"/>
    </w:p>
    <w:p w14:paraId="522B2A68">
      <w:pPr>
        <w:ind w:firstLine="420"/>
        <w:rPr>
          <w:highlight w:val="none"/>
          <w:u w:val="single"/>
        </w:rPr>
      </w:pPr>
      <w:r>
        <w:rPr>
          <w:rFonts w:hint="eastAsia"/>
          <w:highlight w:val="none"/>
        </w:rPr>
        <w:t>发包人:</w:t>
      </w:r>
    </w:p>
    <w:p w14:paraId="5D06B42B">
      <w:pPr>
        <w:ind w:firstLine="420"/>
        <w:rPr>
          <w:highlight w:val="none"/>
          <w:u w:val="single"/>
        </w:rPr>
      </w:pPr>
      <w:r>
        <w:rPr>
          <w:rFonts w:hint="eastAsia"/>
          <w:highlight w:val="none"/>
        </w:rPr>
        <w:t>分包人:</w:t>
      </w:r>
    </w:p>
    <w:p w14:paraId="653AAE09">
      <w:pPr>
        <w:ind w:firstLine="420"/>
        <w:rPr>
          <w:highlight w:val="none"/>
        </w:rPr>
      </w:pPr>
      <w:r>
        <w:rPr>
          <w:rFonts w:hint="eastAsia"/>
          <w:highlight w:val="none"/>
        </w:rPr>
        <w:t>依照《中华人民共和国民法典》《中华人民共和国建筑法》及其他有关法律法规和规章的规定，遵循平等、自愿、公平、诚实信用的原则，双方就</w:t>
      </w:r>
      <w:r>
        <w:rPr>
          <w:rFonts w:hint="eastAsia"/>
          <w:highlight w:val="none"/>
          <w:u w:val="single"/>
          <w:lang w:val="en-US" w:eastAsia="zh-CN"/>
        </w:rPr>
        <w:t xml:space="preserve">                 </w:t>
      </w:r>
      <w:r>
        <w:rPr>
          <w:rFonts w:hint="eastAsia"/>
          <w:highlight w:val="none"/>
        </w:rPr>
        <w:t>事项经协商一致，签订本合同。</w:t>
      </w:r>
    </w:p>
    <w:p w14:paraId="17337600">
      <w:pPr>
        <w:pStyle w:val="2"/>
        <w:spacing w:before="156"/>
        <w:rPr>
          <w:highlight w:val="none"/>
        </w:rPr>
      </w:pPr>
      <w:bookmarkStart w:id="3" w:name="_Toc816"/>
      <w:r>
        <w:rPr>
          <w:rFonts w:hint="eastAsia"/>
          <w:highlight w:val="none"/>
        </w:rPr>
        <w:t>1.工程概况</w:t>
      </w:r>
      <w:bookmarkEnd w:id="3"/>
    </w:p>
    <w:p w14:paraId="2C42929A">
      <w:pPr>
        <w:ind w:firstLine="420"/>
        <w:rPr>
          <w:rFonts w:hint="default"/>
          <w:highlight w:val="none"/>
          <w:u w:val="single"/>
          <w:lang w:val="en-US"/>
        </w:rPr>
      </w:pPr>
      <w:r>
        <w:rPr>
          <w:rFonts w:hint="eastAsia"/>
          <w:highlight w:val="none"/>
        </w:rPr>
        <w:t>1.1工程名称:</w:t>
      </w:r>
      <w:r>
        <w:rPr>
          <w:rFonts w:hint="eastAsia" w:cs="仿宋_GB2312"/>
          <w:kern w:val="2"/>
          <w:sz w:val="21"/>
          <w:szCs w:val="21"/>
          <w:highlight w:val="none"/>
          <w:u w:val="single"/>
          <w:lang w:val="en-US" w:eastAsia="zh-CN" w:bidi="ar-SA"/>
        </w:rPr>
        <w:t xml:space="preserve">             </w:t>
      </w:r>
    </w:p>
    <w:p w14:paraId="10FEE50E">
      <w:pPr>
        <w:ind w:firstLine="420"/>
        <w:rPr>
          <w:highlight w:val="none"/>
        </w:rPr>
      </w:pPr>
      <w:r>
        <w:rPr>
          <w:rFonts w:hint="eastAsia"/>
          <w:highlight w:val="none"/>
        </w:rPr>
        <w:t>1.2工程地点:</w:t>
      </w:r>
      <w:sdt>
        <w:sdtPr>
          <w:rPr>
            <w:rFonts w:hint="eastAsia" w:ascii="仿宋_GB2312" w:hAnsi="仿宋_GB2312" w:eastAsia="仿宋_GB2312" w:cs="仿宋_GB2312"/>
            <w:kern w:val="2"/>
            <w:sz w:val="21"/>
            <w:szCs w:val="21"/>
            <w:highlight w:val="none"/>
            <w:lang w:val="en-US" w:eastAsia="zh-CN" w:bidi="ar-SA"/>
          </w:rPr>
          <w:id w:val="147458422"/>
          <w:placeholder>
            <w:docPart w:val="{ec3e6b78-17f0-427d-a7d9-dd6e899f39b9}"/>
          </w:placeholder>
          <w:dataBinding w:xpath="/一闪流溢[1]/工程地点[1]" w:storeItemID="{34e2400a-2040-400b-8499-67bc057ee36d}"/>
          <w:text/>
        </w:sdtPr>
        <w:sdtEndPr>
          <w:rPr>
            <w:rFonts w:hint="default" w:ascii="仿宋_GB2312" w:hAnsi="仿宋_GB2312" w:eastAsia="仿宋_GB2312" w:cs="仿宋_GB2312"/>
            <w:kern w:val="2"/>
            <w:sz w:val="21"/>
            <w:szCs w:val="21"/>
            <w:highlight w:val="none"/>
            <w:lang w:val="en-US" w:eastAsia="zh-CN" w:bidi="ar-SA"/>
          </w:rPr>
        </w:sdtEndPr>
        <w:sdtContent>
          <w:r>
            <w:rPr>
              <w:rFonts w:hint="eastAsia" w:cs="仿宋_GB2312"/>
              <w:kern w:val="2"/>
              <w:sz w:val="21"/>
              <w:szCs w:val="21"/>
              <w:highlight w:val="none"/>
              <w:u w:val="single"/>
              <w:lang w:val="en-US" w:eastAsia="zh-CN" w:bidi="ar-SA"/>
            </w:rPr>
            <w:t xml:space="preserve">             </w:t>
          </w:r>
        </w:sdtContent>
      </w:sdt>
    </w:p>
    <w:p w14:paraId="1DA60C06">
      <w:pPr>
        <w:ind w:firstLine="420"/>
        <w:rPr>
          <w:rFonts w:hint="default"/>
          <w:highlight w:val="none"/>
          <w:u w:val="single"/>
          <w:lang w:val="en-US"/>
        </w:rPr>
      </w:pPr>
      <w:r>
        <w:rPr>
          <w:rFonts w:hint="eastAsia"/>
          <w:highlight w:val="none"/>
        </w:rPr>
        <w:t>1.3</w:t>
      </w:r>
      <w:r>
        <w:rPr>
          <w:rFonts w:hint="eastAsia"/>
          <w:highlight w:val="none"/>
          <w:lang w:val="en-US" w:eastAsia="zh-CN"/>
        </w:rPr>
        <w:t>分</w:t>
      </w:r>
      <w:r>
        <w:rPr>
          <w:rFonts w:hint="eastAsia"/>
          <w:highlight w:val="none"/>
        </w:rPr>
        <w:t>包方式:</w:t>
      </w:r>
      <w:r>
        <w:rPr>
          <w:rFonts w:hint="eastAsia"/>
          <w:highlight w:val="none"/>
          <w:u w:val="single"/>
          <w:lang w:val="en-US" w:eastAsia="zh-CN"/>
        </w:rPr>
        <w:t xml:space="preserve">             </w:t>
      </w:r>
    </w:p>
    <w:p w14:paraId="52BC268C">
      <w:pPr>
        <w:ind w:firstLine="420"/>
        <w:rPr>
          <w:rFonts w:hint="default" w:eastAsia="仿宋_GB2312"/>
          <w:highlight w:val="none"/>
          <w:u w:val="single"/>
          <w:lang w:val="en-US" w:eastAsia="zh-CN"/>
        </w:rPr>
      </w:pPr>
      <w:bookmarkStart w:id="4" w:name="_Toc11568"/>
      <w:r>
        <w:rPr>
          <w:rFonts w:hint="eastAsia"/>
          <w:highlight w:val="none"/>
        </w:rPr>
        <w:t>1.4</w:t>
      </w:r>
      <w:r>
        <w:rPr>
          <w:rFonts w:hint="eastAsia"/>
          <w:highlight w:val="none"/>
          <w:lang w:val="en-US" w:eastAsia="zh-CN"/>
        </w:rPr>
        <w:t>分包</w:t>
      </w:r>
      <w:r>
        <w:rPr>
          <w:rFonts w:hint="eastAsia"/>
          <w:highlight w:val="none"/>
        </w:rPr>
        <w:t>范围:</w:t>
      </w:r>
      <w:bookmarkEnd w:id="4"/>
      <w:r>
        <w:rPr>
          <w:rFonts w:hint="eastAsia"/>
          <w:highlight w:val="none"/>
          <w:u w:val="single"/>
          <w:lang w:val="en-US" w:eastAsia="zh-CN"/>
        </w:rPr>
        <w:t xml:space="preserve">             </w:t>
      </w:r>
    </w:p>
    <w:p w14:paraId="171F9F7B">
      <w:pPr>
        <w:pStyle w:val="2"/>
        <w:spacing w:before="156"/>
        <w:rPr>
          <w:highlight w:val="none"/>
        </w:rPr>
      </w:pPr>
      <w:bookmarkStart w:id="5" w:name="_Toc21367"/>
      <w:r>
        <w:rPr>
          <w:rFonts w:hint="eastAsia"/>
          <w:highlight w:val="none"/>
        </w:rPr>
        <w:t>2.工程质量</w:t>
      </w:r>
      <w:bookmarkEnd w:id="5"/>
    </w:p>
    <w:p w14:paraId="3335E443">
      <w:pPr>
        <w:ind w:firstLine="420"/>
        <w:rPr>
          <w:highlight w:val="none"/>
        </w:rPr>
      </w:pPr>
      <w:r>
        <w:rPr>
          <w:rFonts w:hint="eastAsia"/>
          <w:highlight w:val="none"/>
        </w:rPr>
        <w:t>本工程质量确保符合</w:t>
      </w:r>
      <w:r>
        <w:rPr>
          <w:rFonts w:hint="eastAsia"/>
          <w:highlight w:val="none"/>
          <w:lang w:val="en-US" w:eastAsia="zh-CN"/>
        </w:rPr>
        <w:t xml:space="preserve">                            及</w:t>
      </w:r>
      <w:r>
        <w:rPr>
          <w:rFonts w:hint="eastAsia"/>
          <w:highlight w:val="none"/>
        </w:rPr>
        <w:t>国家或专业的现行质量检验评定标准的规定及合同约定工程质量标准;</w:t>
      </w:r>
    </w:p>
    <w:p w14:paraId="3582A91F">
      <w:pPr>
        <w:pStyle w:val="2"/>
        <w:spacing w:before="156"/>
        <w:rPr>
          <w:highlight w:val="none"/>
        </w:rPr>
      </w:pPr>
      <w:bookmarkStart w:id="6" w:name="_Toc23801"/>
      <w:r>
        <w:rPr>
          <w:rFonts w:hint="eastAsia"/>
          <w:highlight w:val="none"/>
        </w:rPr>
        <w:t>3.工期</w:t>
      </w:r>
      <w:bookmarkEnd w:id="6"/>
    </w:p>
    <w:p w14:paraId="709EC860">
      <w:pPr>
        <w:ind w:firstLine="420"/>
        <w:rPr>
          <w:highlight w:val="none"/>
        </w:rPr>
      </w:pPr>
      <w:r>
        <w:rPr>
          <w:rFonts w:hint="eastAsia"/>
          <w:highlight w:val="none"/>
        </w:rPr>
        <w:t>3.1计划开工日期:</w:t>
      </w:r>
      <w:r>
        <w:rPr>
          <w:rFonts w:hint="eastAsia"/>
          <w:highlight w:val="none"/>
          <w:u w:val="single"/>
          <w:lang w:val="en-US" w:eastAsia="zh-CN"/>
        </w:rPr>
        <w:t xml:space="preserve">              </w:t>
      </w:r>
      <w:r>
        <w:rPr>
          <w:rFonts w:hint="eastAsia"/>
          <w:highlight w:val="none"/>
          <w:u w:val="single"/>
        </w:rPr>
        <w:t>，实际开工日期以发包人书面通知的开工日期为准</w:t>
      </w:r>
      <w:r>
        <w:rPr>
          <w:rFonts w:hint="eastAsia"/>
          <w:highlight w:val="none"/>
        </w:rPr>
        <w:t>。</w:t>
      </w:r>
    </w:p>
    <w:p w14:paraId="1679FAF8">
      <w:pPr>
        <w:ind w:firstLine="420"/>
        <w:rPr>
          <w:highlight w:val="none"/>
        </w:rPr>
      </w:pPr>
      <w:r>
        <w:rPr>
          <w:rFonts w:hint="eastAsia"/>
          <w:highlight w:val="none"/>
        </w:rPr>
        <w:t>3.2计划竣工日期:</w:t>
      </w:r>
      <w:r>
        <w:rPr>
          <w:rFonts w:hint="eastAsia"/>
          <w:highlight w:val="none"/>
          <w:u w:val="single"/>
          <w:lang w:val="en-US" w:eastAsia="zh-CN"/>
        </w:rPr>
        <w:t xml:space="preserve">               </w:t>
      </w:r>
      <w:r>
        <w:rPr>
          <w:rFonts w:hint="eastAsia"/>
          <w:highlight w:val="none"/>
          <w:u w:val="single"/>
        </w:rPr>
        <w:t>，实际竣工日期以工程竣工验收相关证书或验收报告中的日期为准</w:t>
      </w:r>
      <w:r>
        <w:rPr>
          <w:rFonts w:hint="eastAsia"/>
          <w:highlight w:val="none"/>
        </w:rPr>
        <w:t>。</w:t>
      </w:r>
    </w:p>
    <w:p w14:paraId="609DCBBE">
      <w:pPr>
        <w:ind w:firstLine="420"/>
        <w:rPr>
          <w:rFonts w:hint="eastAsia"/>
          <w:highlight w:val="none"/>
          <w:u w:val="single"/>
        </w:rPr>
      </w:pPr>
      <w:r>
        <w:rPr>
          <w:rFonts w:hint="eastAsia"/>
          <w:highlight w:val="none"/>
        </w:rPr>
        <w:t>3.3缺陷责任期：</w:t>
      </w:r>
      <w:r>
        <w:rPr>
          <w:rFonts w:hint="eastAsia"/>
          <w:highlight w:val="none"/>
          <w:u w:val="single"/>
          <w:lang w:val="en-US" w:eastAsia="zh-CN"/>
        </w:rPr>
        <w:t xml:space="preserve">      </w:t>
      </w:r>
      <w:r>
        <w:rPr>
          <w:rFonts w:hint="eastAsia"/>
          <w:highlight w:val="none"/>
          <w:u w:val="single"/>
        </w:rPr>
        <w:t>。</w:t>
      </w:r>
    </w:p>
    <w:p w14:paraId="41F4EA43">
      <w:pPr>
        <w:ind w:firstLine="420"/>
        <w:rPr>
          <w:rFonts w:hint="eastAsia"/>
          <w:highlight w:val="none"/>
          <w:u w:val="none"/>
        </w:rPr>
      </w:pPr>
      <w:r>
        <w:rPr>
          <w:rFonts w:hint="eastAsia"/>
          <w:highlight w:val="none"/>
          <w:u w:val="none"/>
          <w:lang w:val="en-US" w:eastAsia="zh-CN"/>
        </w:rPr>
        <w:t>3</w:t>
      </w:r>
      <w:r>
        <w:rPr>
          <w:rFonts w:hint="eastAsia"/>
          <w:highlight w:val="none"/>
          <w:u w:val="none"/>
        </w:rPr>
        <w:t>.4违约责任</w:t>
      </w:r>
    </w:p>
    <w:p w14:paraId="6A0C8EE4">
      <w:pPr>
        <w:ind w:firstLine="420"/>
        <w:rPr>
          <w:rFonts w:hint="eastAsia"/>
          <w:highlight w:val="none"/>
          <w:u w:val="none"/>
        </w:rPr>
      </w:pPr>
      <w:r>
        <w:rPr>
          <w:rFonts w:hint="eastAsia"/>
          <w:highlight w:val="none"/>
          <w:u w:val="none"/>
          <w:lang w:val="en-US" w:eastAsia="zh-CN"/>
        </w:rPr>
        <w:t>3</w:t>
      </w:r>
      <w:r>
        <w:rPr>
          <w:rFonts w:hint="eastAsia"/>
          <w:highlight w:val="none"/>
          <w:u w:val="none"/>
        </w:rPr>
        <w:t>.4.1在施工期间，若发包人认为分包人进度不能满足本合同约定，分包人应按发包人要求安排赶工措施，由此发生费用由分包人自行承担。</w:t>
      </w:r>
    </w:p>
    <w:p w14:paraId="65E6FD7D">
      <w:pPr>
        <w:ind w:firstLine="420"/>
        <w:rPr>
          <w:rFonts w:hint="eastAsia"/>
          <w:highlight w:val="none"/>
          <w:u w:val="single"/>
        </w:rPr>
      </w:pPr>
      <w:r>
        <w:rPr>
          <w:rFonts w:hint="eastAsia"/>
          <w:highlight w:val="none"/>
          <w:u w:val="none"/>
          <w:lang w:val="en-US" w:eastAsia="zh-CN"/>
        </w:rPr>
        <w:t>3</w:t>
      </w:r>
      <w:r>
        <w:rPr>
          <w:rFonts w:hint="eastAsia"/>
          <w:highlight w:val="none"/>
          <w:u w:val="none"/>
        </w:rPr>
        <w:t>.4.2如分包人不能满足发包人工期要求，发包人要求安排赶工措施，分包人拒不执行的。发包人可单方面减少分包人施工范围或工作内容，另行雇佣第三方实施，由此发生的工程费用及相应的损失费用由分包人承担，在结算总价中扣除，同时发包人按此项费用的2%对分包人进行处罚。如分包人不予认可，在无法满足发包人工期要求的情况下，发包人有权单方解除合同，分包人应尽快退场，由双方对停工及已完工程量进行确认，办理最终结算；分包人如果拒不退场、退场拖延或者有其它阻工行为，造成发包人工期延误及其它损失的均应全额赔偿，发包人有权从其结算款中直接扣除己方损失。</w:t>
      </w:r>
    </w:p>
    <w:p w14:paraId="209E1516">
      <w:pPr>
        <w:pStyle w:val="2"/>
        <w:spacing w:before="156"/>
        <w:rPr>
          <w:highlight w:val="none"/>
        </w:rPr>
      </w:pPr>
      <w:bookmarkStart w:id="7" w:name="_Toc17484"/>
      <w:r>
        <w:rPr>
          <w:rFonts w:hint="eastAsia"/>
          <w:highlight w:val="none"/>
        </w:rPr>
        <w:t>4.</w:t>
      </w:r>
      <w:r>
        <w:rPr>
          <w:rFonts w:hint="eastAsia"/>
          <w:highlight w:val="none"/>
          <w:lang w:val="en-US" w:eastAsia="zh-CN"/>
        </w:rPr>
        <w:t>技术</w:t>
      </w:r>
      <w:r>
        <w:rPr>
          <w:rFonts w:hint="eastAsia"/>
          <w:highlight w:val="none"/>
        </w:rPr>
        <w:t>文件</w:t>
      </w:r>
      <w:bookmarkEnd w:id="7"/>
    </w:p>
    <w:p w14:paraId="6B9BB765">
      <w:pPr>
        <w:ind w:firstLine="420"/>
        <w:rPr>
          <w:highlight w:val="none"/>
        </w:rPr>
      </w:pPr>
      <w:r>
        <w:rPr>
          <w:rFonts w:hint="eastAsia"/>
          <w:highlight w:val="none"/>
        </w:rPr>
        <w:t>发包人于开工前向分包人提供满足施工需要的设计图纸</w:t>
      </w:r>
      <w:r>
        <w:rPr>
          <w:rFonts w:hint="eastAsia"/>
          <w:highlight w:val="none"/>
          <w:lang w:val="en-US" w:eastAsia="zh-CN"/>
        </w:rPr>
        <w:t>或</w:t>
      </w:r>
      <w:r>
        <w:rPr>
          <w:rFonts w:hint="eastAsia"/>
          <w:highlight w:val="none"/>
        </w:rPr>
        <w:t>技术文件。</w:t>
      </w:r>
    </w:p>
    <w:p w14:paraId="4FD785B1">
      <w:pPr>
        <w:pStyle w:val="2"/>
        <w:spacing w:before="156"/>
        <w:rPr>
          <w:highlight w:val="none"/>
        </w:rPr>
      </w:pPr>
      <w:bookmarkStart w:id="8" w:name="_Toc12367"/>
      <w:r>
        <w:rPr>
          <w:rFonts w:hint="eastAsia"/>
          <w:highlight w:val="none"/>
        </w:rPr>
        <w:t>5.工程价款</w:t>
      </w:r>
      <w:bookmarkEnd w:id="8"/>
    </w:p>
    <w:p w14:paraId="1A30B5A3">
      <w:pPr>
        <w:ind w:firstLine="420"/>
        <w:rPr>
          <w:highlight w:val="none"/>
        </w:rPr>
      </w:pPr>
      <w:bookmarkStart w:id="9" w:name="_Toc30801"/>
      <w:r>
        <w:rPr>
          <w:rFonts w:hint="eastAsia"/>
          <w:highlight w:val="none"/>
        </w:rPr>
        <w:t>5.1工程价款按以下第</w:t>
      </w:r>
      <w:r>
        <w:rPr>
          <w:rFonts w:hint="eastAsia"/>
          <w:highlight w:val="none"/>
          <w:lang w:val="en-US" w:eastAsia="zh-CN"/>
        </w:rPr>
        <w:t xml:space="preserve">   </w:t>
      </w:r>
      <w:r>
        <w:rPr>
          <w:rFonts w:hint="eastAsia"/>
          <w:highlight w:val="none"/>
        </w:rPr>
        <w:t>种方式确定:</w:t>
      </w:r>
      <w:bookmarkEnd w:id="9"/>
    </w:p>
    <w:p w14:paraId="59B4FBFD">
      <w:pPr>
        <w:ind w:firstLine="420"/>
        <w:rPr>
          <w:highlight w:val="none"/>
        </w:rPr>
      </w:pPr>
      <w:bookmarkStart w:id="10" w:name="_Toc7959"/>
      <w:r>
        <w:rPr>
          <w:rFonts w:hint="eastAsia"/>
          <w:highlight w:val="none"/>
        </w:rPr>
        <w:t>(1)固定总价承包</w:t>
      </w:r>
      <w:bookmarkEnd w:id="10"/>
    </w:p>
    <w:p w14:paraId="0F340795">
      <w:pPr>
        <w:ind w:firstLine="420"/>
        <w:rPr>
          <w:highlight w:val="none"/>
        </w:rPr>
      </w:pPr>
      <w:r>
        <w:rPr>
          <w:rFonts w:hint="eastAsia"/>
          <w:highlight w:val="none"/>
        </w:rPr>
        <w:t>本项目工程固定总价为人民币(大写)</w:t>
      </w:r>
      <w:r>
        <w:rPr>
          <w:rFonts w:hint="eastAsia"/>
          <w:highlight w:val="none"/>
          <w:u w:val="single"/>
        </w:rPr>
        <w:t xml:space="preserve"> / </w:t>
      </w:r>
      <w:r>
        <w:rPr>
          <w:rFonts w:hint="eastAsia"/>
          <w:highlight w:val="none"/>
        </w:rPr>
        <w:t>(￥(含税)，增值税税率</w:t>
      </w:r>
      <w:r>
        <w:rPr>
          <w:rFonts w:hint="eastAsia"/>
          <w:highlight w:val="none"/>
          <w:u w:val="single"/>
        </w:rPr>
        <w:t xml:space="preserve"> / </w:t>
      </w:r>
      <w:r>
        <w:rPr>
          <w:rFonts w:hint="eastAsia"/>
          <w:highlight w:val="none"/>
        </w:rPr>
        <w:t>。若国家出台新的税收政策，合同约定税率与国家法律法规及税务机关规定的税率不一致时，对于尚未完成结算且未开具增值税税率发票的部分，按照国家法律法规及税务机关规定的增值税税率调整含税价格，价格调整以不含税价为基准。</w:t>
      </w:r>
    </w:p>
    <w:p w14:paraId="5A139D78">
      <w:pPr>
        <w:ind w:firstLine="420"/>
        <w:rPr>
          <w:highlight w:val="none"/>
        </w:rPr>
      </w:pPr>
      <w:bookmarkStart w:id="11" w:name="_Toc1427"/>
      <w:r>
        <w:rPr>
          <w:rFonts w:hint="eastAsia"/>
          <w:highlight w:val="none"/>
        </w:rPr>
        <w:t>(2)固定综合单价承包</w:t>
      </w:r>
      <w:bookmarkEnd w:id="11"/>
    </w:p>
    <w:p w14:paraId="3D8CE33B">
      <w:pPr>
        <w:ind w:firstLine="420"/>
        <w:jc w:val="left"/>
        <w:rPr>
          <w:highlight w:val="none"/>
        </w:rPr>
      </w:pPr>
      <w:r>
        <w:rPr>
          <w:rFonts w:hint="eastAsia"/>
          <w:highlight w:val="none"/>
        </w:rPr>
        <w:t>本合同为固定</w:t>
      </w:r>
      <w:r>
        <w:rPr>
          <w:rFonts w:hint="eastAsia"/>
          <w:highlight w:val="none"/>
          <w:lang w:val="en-US" w:eastAsia="zh-CN"/>
        </w:rPr>
        <w:t>综合</w:t>
      </w:r>
      <w:r>
        <w:rPr>
          <w:rFonts w:hint="eastAsia"/>
          <w:highlight w:val="none"/>
        </w:rPr>
        <w:t>单价合同，暂定总价为人民币(大写)</w:t>
      </w:r>
      <w:r>
        <w:rPr>
          <w:rFonts w:hint="eastAsia"/>
          <w:highlight w:val="none"/>
          <w:u w:val="single"/>
        </w:rPr>
        <w:t xml:space="preserve"> / </w:t>
      </w:r>
      <w:r>
        <w:rPr>
          <w:rFonts w:hint="eastAsia"/>
          <w:highlight w:val="none"/>
        </w:rPr>
        <w:t>(￥</w:t>
      </w:r>
      <w:r>
        <w:rPr>
          <w:rFonts w:hint="eastAsia"/>
          <w:highlight w:val="none"/>
          <w:u w:val="single"/>
        </w:rPr>
        <w:t xml:space="preserve"> / </w:t>
      </w:r>
      <w:r>
        <w:rPr>
          <w:rFonts w:hint="eastAsia"/>
          <w:highlight w:val="none"/>
        </w:rPr>
        <w:t>)(含税)，增值税税率</w:t>
      </w:r>
      <w:r>
        <w:rPr>
          <w:rFonts w:hint="eastAsia"/>
          <w:highlight w:val="none"/>
          <w:u w:val="single"/>
        </w:rPr>
        <w:t xml:space="preserve"> / </w:t>
      </w:r>
      <w:r>
        <w:rPr>
          <w:rFonts w:hint="eastAsia"/>
          <w:highlight w:val="none"/>
        </w:rPr>
        <w:t>，固定</w:t>
      </w:r>
      <w:r>
        <w:rPr>
          <w:rFonts w:hint="eastAsia"/>
          <w:highlight w:val="none"/>
          <w:lang w:val="en-US" w:eastAsia="zh-CN"/>
        </w:rPr>
        <w:t>综合</w:t>
      </w:r>
      <w:r>
        <w:rPr>
          <w:rFonts w:hint="eastAsia"/>
          <w:highlight w:val="none"/>
        </w:rPr>
        <w:t>单价明细详见合同附件1。</w:t>
      </w:r>
    </w:p>
    <w:p w14:paraId="60F611B8">
      <w:pPr>
        <w:ind w:firstLine="420"/>
        <w:rPr>
          <w:highlight w:val="none"/>
        </w:rPr>
      </w:pPr>
      <w:r>
        <w:rPr>
          <w:rFonts w:hint="eastAsia"/>
          <w:highlight w:val="none"/>
        </w:rPr>
        <w:t>5.2本条第5.1款工程价款选择固定总价承包或固定综合单价承包方式的，本项目工程固定总价或综合单价在合同有效期间保持不变，不因市场变化因素、政策调整、不可抗力事件或其他任何因素而调整。</w:t>
      </w:r>
    </w:p>
    <w:p w14:paraId="5B129E07">
      <w:pPr>
        <w:ind w:firstLine="420"/>
        <w:rPr>
          <w:highlight w:val="none"/>
        </w:rPr>
      </w:pPr>
      <w:r>
        <w:rPr>
          <w:rFonts w:hint="eastAsia"/>
          <w:highlight w:val="none"/>
        </w:rPr>
        <w:t>5.3双方确定固定总价/固定综合单价(以下简称“签约合同价”中已充分考虑且包括了但不限于以下费用:</w:t>
      </w:r>
    </w:p>
    <w:p w14:paraId="744558BE">
      <w:pPr>
        <w:ind w:firstLine="420"/>
        <w:rPr>
          <w:highlight w:val="none"/>
        </w:rPr>
      </w:pPr>
      <w:r>
        <w:rPr>
          <w:rFonts w:hint="eastAsia"/>
          <w:highlight w:val="none"/>
        </w:rPr>
        <w:t>5.3.1人工费、材料设备费（乙供）、机械费、措施费、间接费、利润、税金；</w:t>
      </w:r>
    </w:p>
    <w:p w14:paraId="236A67F0">
      <w:pPr>
        <w:ind w:firstLine="420"/>
        <w:rPr>
          <w:highlight w:val="none"/>
        </w:rPr>
      </w:pPr>
      <w:r>
        <w:rPr>
          <w:rFonts w:hint="eastAsia"/>
          <w:highlight w:val="none"/>
        </w:rPr>
        <w:t>5.3.2分包人的</w:t>
      </w:r>
      <w:r>
        <w:rPr>
          <w:rFonts w:hint="eastAsia"/>
          <w:highlight w:val="none"/>
          <w:lang w:val="en-US" w:eastAsia="zh-CN"/>
        </w:rPr>
        <w:t>赶工费用、</w:t>
      </w:r>
      <w:r>
        <w:rPr>
          <w:rFonts w:hint="eastAsia"/>
          <w:highlight w:val="none"/>
        </w:rPr>
        <w:t>窝工损失;</w:t>
      </w:r>
    </w:p>
    <w:p w14:paraId="44221FDB">
      <w:pPr>
        <w:ind w:firstLine="420"/>
        <w:rPr>
          <w:highlight w:val="none"/>
        </w:rPr>
      </w:pPr>
      <w:r>
        <w:rPr>
          <w:rFonts w:hint="eastAsia"/>
          <w:highlight w:val="none"/>
        </w:rPr>
        <w:t>5.3.3分包人采购的材料、设备的涨价费用;</w:t>
      </w:r>
    </w:p>
    <w:p w14:paraId="6C2CDAD7">
      <w:pPr>
        <w:ind w:firstLine="420"/>
        <w:rPr>
          <w:highlight w:val="none"/>
        </w:rPr>
      </w:pPr>
      <w:r>
        <w:rPr>
          <w:rFonts w:hint="eastAsia"/>
          <w:highlight w:val="none"/>
        </w:rPr>
        <w:t>5.3.4发包人采购的材料、设备的领用、二次运输、装卸及保管仓储费;</w:t>
      </w:r>
    </w:p>
    <w:p w14:paraId="0FD4527C">
      <w:pPr>
        <w:ind w:firstLine="420"/>
        <w:rPr>
          <w:highlight w:val="none"/>
        </w:rPr>
      </w:pPr>
      <w:r>
        <w:rPr>
          <w:rFonts w:hint="eastAsia"/>
          <w:highlight w:val="none"/>
        </w:rPr>
        <w:t>5.3.5分包人与各方的协调费；</w:t>
      </w:r>
    </w:p>
    <w:p w14:paraId="5F6D1392">
      <w:pPr>
        <w:ind w:firstLine="420"/>
        <w:rPr>
          <w:highlight w:val="none"/>
        </w:rPr>
      </w:pPr>
      <w:r>
        <w:rPr>
          <w:rFonts w:hint="eastAsia"/>
          <w:highlight w:val="none"/>
        </w:rPr>
        <w:t>5.3.6分包人在整个施工期间为其人员、机械购买保险的费用；</w:t>
      </w:r>
    </w:p>
    <w:p w14:paraId="7694AE8A">
      <w:pPr>
        <w:ind w:firstLine="420"/>
        <w:rPr>
          <w:highlight w:val="none"/>
        </w:rPr>
      </w:pPr>
      <w:r>
        <w:rPr>
          <w:rFonts w:hint="eastAsia"/>
          <w:highlight w:val="none"/>
        </w:rPr>
        <w:t>5.3.7风险费用。</w:t>
      </w:r>
    </w:p>
    <w:p w14:paraId="40F8D08E">
      <w:pPr>
        <w:ind w:firstLine="420"/>
        <w:rPr>
          <w:highlight w:val="none"/>
        </w:rPr>
      </w:pPr>
      <w:r>
        <w:rPr>
          <w:rFonts w:hint="eastAsia"/>
          <w:highlight w:val="none"/>
        </w:rPr>
        <w:t>5.3.8其他。</w:t>
      </w:r>
    </w:p>
    <w:p w14:paraId="2465AB22">
      <w:pPr>
        <w:pStyle w:val="2"/>
        <w:spacing w:before="156"/>
        <w:rPr>
          <w:highlight w:val="none"/>
        </w:rPr>
      </w:pPr>
      <w:bookmarkStart w:id="12" w:name="_Toc20005"/>
      <w:r>
        <w:rPr>
          <w:rFonts w:hint="eastAsia"/>
          <w:highlight w:val="none"/>
        </w:rPr>
        <w:t>6.结算方式</w:t>
      </w:r>
      <w:bookmarkEnd w:id="12"/>
    </w:p>
    <w:p w14:paraId="6B62FF21">
      <w:pPr>
        <w:ind w:firstLine="420"/>
        <w:rPr>
          <w:highlight w:val="none"/>
        </w:rPr>
      </w:pPr>
      <w:bookmarkStart w:id="13" w:name="_Toc24292"/>
      <w:r>
        <w:rPr>
          <w:rFonts w:hint="eastAsia"/>
          <w:highlight w:val="none"/>
        </w:rPr>
        <w:t>6.1工程结算原则</w:t>
      </w:r>
      <w:bookmarkEnd w:id="13"/>
    </w:p>
    <w:p w14:paraId="4FE295A4">
      <w:pPr>
        <w:ind w:firstLine="420"/>
        <w:rPr>
          <w:highlight w:val="none"/>
        </w:rPr>
      </w:pPr>
      <w:r>
        <w:rPr>
          <w:rFonts w:hint="eastAsia"/>
          <w:highlight w:val="none"/>
        </w:rPr>
        <w:t>6.1.1若分包人在工程变更或工程量增加事项发生后未向发包人书面呈报工程款增加的签证单，则视为分包人放弃该项增加的工程价款，发包人无须将此项作为工程价款计算的依据。</w:t>
      </w:r>
    </w:p>
    <w:p w14:paraId="429389C6">
      <w:pPr>
        <w:ind w:firstLine="420"/>
        <w:rPr>
          <w:rFonts w:hint="eastAsia"/>
          <w:highlight w:val="none"/>
        </w:rPr>
      </w:pPr>
      <w:r>
        <w:rPr>
          <w:rFonts w:hint="eastAsia"/>
          <w:highlight w:val="none"/>
        </w:rPr>
        <w:t>6.1.2分包人未经发包人同意超出设计图自行增加的工程量和因分包人原因返工增加的工程量不予计量。</w:t>
      </w:r>
    </w:p>
    <w:p w14:paraId="6F40BEFA">
      <w:pPr>
        <w:keepNext w:val="0"/>
        <w:keepLines w:val="0"/>
        <w:pageBreakBefore w:val="0"/>
        <w:widowControl w:val="0"/>
        <w:kinsoku/>
        <w:wordWrap/>
        <w:overflowPunct/>
        <w:topLinePunct w:val="0"/>
        <w:autoSpaceDE/>
        <w:autoSpaceDN/>
        <w:bidi w:val="0"/>
        <w:adjustRightInd/>
        <w:snapToGrid/>
        <w:ind w:firstLine="420" w:firstLineChars="200"/>
        <w:contextualSpacing/>
        <w:textAlignment w:val="auto"/>
        <w:rPr>
          <w:rFonts w:hint="eastAsia" w:ascii="仿宋_GB2312" w:hAnsi="仿宋_GB2312" w:eastAsia="仿宋_GB2312" w:cs="仿宋_GB2312"/>
          <w:szCs w:val="21"/>
          <w:highlight w:val="none"/>
        </w:rPr>
      </w:pPr>
      <w:bookmarkStart w:id="14" w:name="_Toc30644"/>
      <w:r>
        <w:rPr>
          <w:rFonts w:hint="eastAsia" w:ascii="仿宋_GB2312" w:hAnsi="仿宋_GB2312" w:eastAsia="仿宋_GB2312" w:cs="仿宋_GB2312"/>
          <w:szCs w:val="21"/>
          <w:highlight w:val="none"/>
          <w:lang w:eastAsia="zh-CN"/>
        </w:rPr>
        <w:t>6.</w:t>
      </w:r>
      <w:r>
        <w:rPr>
          <w:rFonts w:hint="eastAsia" w:cs="仿宋_GB2312"/>
          <w:szCs w:val="21"/>
          <w:highlight w:val="none"/>
          <w:lang w:val="en-US" w:eastAsia="zh-CN"/>
        </w:rPr>
        <w:t>2</w:t>
      </w:r>
      <w:r>
        <w:rPr>
          <w:rFonts w:hint="eastAsia" w:ascii="仿宋_GB2312" w:hAnsi="仿宋_GB2312" w:eastAsia="仿宋_GB2312" w:cs="仿宋_GB2312"/>
          <w:szCs w:val="21"/>
          <w:highlight w:val="none"/>
        </w:rPr>
        <w:t>合同价格的调整</w:t>
      </w:r>
    </w:p>
    <w:p w14:paraId="4B6FC7FA">
      <w:pPr>
        <w:keepNext w:val="0"/>
        <w:keepLines w:val="0"/>
        <w:pageBreakBefore w:val="0"/>
        <w:widowControl w:val="0"/>
        <w:kinsoku/>
        <w:wordWrap/>
        <w:overflowPunct/>
        <w:topLinePunct w:val="0"/>
        <w:autoSpaceDE/>
        <w:autoSpaceDN/>
        <w:bidi w:val="0"/>
        <w:adjustRightInd/>
        <w:snapToGrid/>
        <w:ind w:firstLine="420" w:firstLineChars="200"/>
        <w:contextualSpacing/>
        <w:textAlignment w:val="auto"/>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（1）已标价工程量清单有相同项目的，按照相同项目综合单价</w:t>
      </w:r>
      <w:r>
        <w:rPr>
          <w:rFonts w:hint="eastAsia" w:ascii="仿宋_GB2312" w:hAnsi="仿宋_GB2312" w:eastAsia="仿宋_GB2312" w:cs="仿宋_GB2312"/>
          <w:szCs w:val="21"/>
          <w:highlight w:val="none"/>
          <w:lang w:val="en-US" w:eastAsia="zh-CN"/>
        </w:rPr>
        <w:t>计</w:t>
      </w:r>
      <w:r>
        <w:rPr>
          <w:rFonts w:hint="eastAsia" w:ascii="仿宋_GB2312" w:hAnsi="仿宋_GB2312" w:eastAsia="仿宋_GB2312" w:cs="仿宋_GB2312"/>
          <w:szCs w:val="21"/>
          <w:highlight w:val="none"/>
        </w:rPr>
        <w:t>算；</w:t>
      </w:r>
    </w:p>
    <w:p w14:paraId="5DC36FCD">
      <w:pPr>
        <w:keepNext w:val="0"/>
        <w:keepLines w:val="0"/>
        <w:pageBreakBefore w:val="0"/>
        <w:widowControl w:val="0"/>
        <w:kinsoku/>
        <w:wordWrap/>
        <w:overflowPunct/>
        <w:topLinePunct w:val="0"/>
        <w:autoSpaceDE/>
        <w:autoSpaceDN/>
        <w:bidi w:val="0"/>
        <w:adjustRightInd/>
        <w:snapToGrid/>
        <w:ind w:firstLine="420" w:firstLineChars="200"/>
        <w:contextualSpacing/>
        <w:textAlignment w:val="auto"/>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（2）已标价工程量清单无相同项目，但有类似项目的，参照类似项目的综合单价</w:t>
      </w:r>
      <w:r>
        <w:rPr>
          <w:rFonts w:hint="eastAsia" w:ascii="仿宋_GB2312" w:hAnsi="仿宋_GB2312" w:eastAsia="仿宋_GB2312" w:cs="仿宋_GB2312"/>
          <w:szCs w:val="21"/>
          <w:highlight w:val="none"/>
          <w:lang w:val="en-US" w:eastAsia="zh-CN"/>
        </w:rPr>
        <w:t>计</w:t>
      </w:r>
      <w:r>
        <w:rPr>
          <w:rFonts w:hint="eastAsia" w:ascii="仿宋_GB2312" w:hAnsi="仿宋_GB2312" w:eastAsia="仿宋_GB2312" w:cs="仿宋_GB2312"/>
          <w:szCs w:val="21"/>
          <w:highlight w:val="none"/>
        </w:rPr>
        <w:t>算；</w:t>
      </w:r>
    </w:p>
    <w:p w14:paraId="6D4C3D9F">
      <w:pPr>
        <w:keepNext w:val="0"/>
        <w:keepLines w:val="0"/>
        <w:pageBreakBefore w:val="0"/>
        <w:widowControl w:val="0"/>
        <w:kinsoku/>
        <w:wordWrap/>
        <w:overflowPunct/>
        <w:topLinePunct w:val="0"/>
        <w:autoSpaceDE/>
        <w:autoSpaceDN/>
        <w:bidi w:val="0"/>
        <w:adjustRightInd/>
        <w:snapToGrid/>
        <w:ind w:firstLine="420" w:firstLineChars="200"/>
        <w:contextualSpacing/>
        <w:textAlignment w:val="auto"/>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（3）工程量清单中无相同项目也没有类似项目的，根据以下原则</w:t>
      </w:r>
      <w:r>
        <w:rPr>
          <w:rFonts w:hint="eastAsia" w:cs="仿宋_GB2312"/>
          <w:szCs w:val="21"/>
          <w:highlight w:val="none"/>
          <w:lang w:val="en-US" w:eastAsia="zh-CN"/>
        </w:rPr>
        <w:t>计算</w:t>
      </w:r>
      <w:r>
        <w:rPr>
          <w:rFonts w:hint="eastAsia" w:ascii="仿宋_GB2312" w:hAnsi="仿宋_GB2312" w:eastAsia="仿宋_GB2312" w:cs="仿宋_GB2312"/>
          <w:szCs w:val="21"/>
          <w:highlight w:val="none"/>
        </w:rPr>
        <w:t>：定额套用《电力建设工程预算定额(20</w:t>
      </w:r>
      <w:r>
        <w:rPr>
          <w:rFonts w:hint="eastAsia" w:cs="仿宋_GB2312"/>
          <w:szCs w:val="21"/>
          <w:highlight w:val="none"/>
          <w:lang w:val="en-US" w:eastAsia="zh-CN"/>
        </w:rPr>
        <w:t>18</w:t>
      </w:r>
      <w:r>
        <w:rPr>
          <w:rFonts w:hint="eastAsia" w:ascii="仿宋_GB2312" w:hAnsi="仿宋_GB2312" w:eastAsia="仿宋_GB2312" w:cs="仿宋_GB2312"/>
          <w:szCs w:val="21"/>
          <w:highlight w:val="none"/>
        </w:rPr>
        <w:t>年版)》，总价下浮</w:t>
      </w:r>
      <w:r>
        <w:rPr>
          <w:rFonts w:hint="eastAsia" w:cs="仿宋_GB2312"/>
          <w:szCs w:val="21"/>
          <w:highlight w:val="none"/>
          <w:lang w:val="en-US" w:eastAsia="zh-CN"/>
        </w:rPr>
        <w:t>15</w:t>
      </w:r>
      <w:r>
        <w:rPr>
          <w:rFonts w:hint="eastAsia" w:ascii="仿宋_GB2312" w:hAnsi="仿宋_GB2312" w:eastAsia="仿宋_GB2312" w:cs="仿宋_GB2312"/>
          <w:szCs w:val="21"/>
          <w:highlight w:val="none"/>
        </w:rPr>
        <w:t>%。</w:t>
      </w:r>
    </w:p>
    <w:p w14:paraId="34A5B774">
      <w:pPr>
        <w:keepNext w:val="0"/>
        <w:keepLines w:val="0"/>
        <w:pageBreakBefore w:val="0"/>
        <w:widowControl w:val="0"/>
        <w:kinsoku/>
        <w:wordWrap/>
        <w:overflowPunct/>
        <w:topLinePunct w:val="0"/>
        <w:autoSpaceDE/>
        <w:autoSpaceDN/>
        <w:bidi w:val="0"/>
        <w:adjustRightInd/>
        <w:snapToGrid/>
        <w:ind w:firstLine="420" w:firstLineChars="200"/>
        <w:contextualSpacing/>
        <w:textAlignment w:val="auto"/>
        <w:rPr>
          <w:rFonts w:hint="eastAsia"/>
          <w:highlight w:val="none"/>
        </w:rPr>
      </w:pPr>
      <w:r>
        <w:rPr>
          <w:rFonts w:hint="eastAsia" w:ascii="仿宋_GB2312" w:hAnsi="仿宋_GB2312" w:eastAsia="仿宋_GB2312" w:cs="仿宋_GB2312"/>
          <w:szCs w:val="21"/>
          <w:highlight w:val="none"/>
        </w:rPr>
        <w:t>（4）设备、材料费执行当期信息价，信息价没有的通过</w:t>
      </w:r>
      <w:r>
        <w:rPr>
          <w:rFonts w:hint="eastAsia" w:ascii="仿宋_GB2312" w:hAnsi="仿宋_GB2312" w:eastAsia="仿宋_GB2312" w:cs="仿宋_GB2312"/>
          <w:szCs w:val="21"/>
          <w:highlight w:val="none"/>
          <w:lang w:val="en-US" w:eastAsia="zh-CN"/>
        </w:rPr>
        <w:t>双</w:t>
      </w:r>
      <w:r>
        <w:rPr>
          <w:rFonts w:hint="eastAsia" w:ascii="仿宋_GB2312" w:hAnsi="仿宋_GB2312" w:eastAsia="仿宋_GB2312" w:cs="仿宋_GB2312"/>
          <w:szCs w:val="21"/>
          <w:highlight w:val="none"/>
        </w:rPr>
        <w:t>方调研后（发包人、分包人共同调研）执行市场价格。</w:t>
      </w:r>
    </w:p>
    <w:p w14:paraId="290AF29B">
      <w:pPr>
        <w:keepNext w:val="0"/>
        <w:keepLines w:val="0"/>
        <w:pageBreakBefore w:val="0"/>
        <w:widowControl w:val="0"/>
        <w:kinsoku/>
        <w:wordWrap/>
        <w:overflowPunct/>
        <w:topLinePunct w:val="0"/>
        <w:autoSpaceDE/>
        <w:autoSpaceDN/>
        <w:bidi w:val="0"/>
        <w:adjustRightInd/>
        <w:snapToGrid/>
        <w:ind w:firstLine="420" w:firstLineChars="200"/>
        <w:contextualSpacing/>
        <w:textAlignment w:val="auto"/>
        <w:rPr>
          <w:rFonts w:hint="eastAsia" w:ascii="仿宋_GB2312" w:hAnsi="仿宋_GB2312" w:eastAsia="仿宋_GB2312" w:cs="仿宋_GB2312"/>
          <w:szCs w:val="21"/>
          <w:highlight w:val="none"/>
          <w:lang w:eastAsia="zh-CN"/>
        </w:rPr>
      </w:pPr>
      <w:bookmarkStart w:id="15" w:name="_Toc2446"/>
      <w:r>
        <w:rPr>
          <w:rFonts w:hint="eastAsia" w:ascii="仿宋_GB2312" w:hAnsi="仿宋_GB2312" w:eastAsia="仿宋_GB2312" w:cs="仿宋_GB2312"/>
          <w:szCs w:val="21"/>
          <w:highlight w:val="none"/>
          <w:lang w:eastAsia="zh-CN"/>
        </w:rPr>
        <w:t>6.</w:t>
      </w:r>
      <w:r>
        <w:rPr>
          <w:rFonts w:hint="eastAsia" w:ascii="仿宋_GB2312" w:hAnsi="仿宋_GB2312" w:eastAsia="仿宋_GB2312" w:cs="仿宋_GB2312"/>
          <w:szCs w:val="21"/>
          <w:highlight w:val="none"/>
          <w:lang w:val="en-US" w:eastAsia="zh-CN"/>
        </w:rPr>
        <w:t>3</w:t>
      </w:r>
      <w:r>
        <w:rPr>
          <w:rFonts w:hint="eastAsia" w:ascii="仿宋_GB2312" w:hAnsi="仿宋_GB2312" w:eastAsia="仿宋_GB2312" w:cs="仿宋_GB2312"/>
          <w:szCs w:val="21"/>
          <w:highlight w:val="none"/>
          <w:lang w:eastAsia="zh-CN"/>
        </w:rPr>
        <w:t>工程竣工工程款结算</w:t>
      </w:r>
      <w:bookmarkEnd w:id="15"/>
    </w:p>
    <w:p w14:paraId="4CF34C21">
      <w:pPr>
        <w:keepNext w:val="0"/>
        <w:keepLines w:val="0"/>
        <w:pageBreakBefore w:val="0"/>
        <w:widowControl w:val="0"/>
        <w:kinsoku/>
        <w:wordWrap/>
        <w:overflowPunct/>
        <w:topLinePunct w:val="0"/>
        <w:autoSpaceDE/>
        <w:autoSpaceDN/>
        <w:bidi w:val="0"/>
        <w:adjustRightInd/>
        <w:snapToGrid/>
        <w:ind w:firstLine="420" w:firstLineChars="200"/>
        <w:contextualSpacing/>
        <w:textAlignment w:val="auto"/>
        <w:rPr>
          <w:rFonts w:hint="eastAsia" w:ascii="仿宋_GB2312" w:hAnsi="仿宋_GB2312" w:eastAsia="仿宋_GB2312" w:cs="仿宋_GB2312"/>
          <w:szCs w:val="21"/>
          <w:highlight w:val="none"/>
          <w:lang w:eastAsia="zh-CN"/>
        </w:rPr>
      </w:pPr>
      <w:r>
        <w:rPr>
          <w:rFonts w:hint="eastAsia" w:ascii="仿宋_GB2312" w:hAnsi="仿宋_GB2312" w:eastAsia="仿宋_GB2312" w:cs="仿宋_GB2312"/>
          <w:szCs w:val="21"/>
          <w:highlight w:val="none"/>
          <w:lang w:eastAsia="zh-CN"/>
        </w:rPr>
        <w:t>6.</w:t>
      </w:r>
      <w:r>
        <w:rPr>
          <w:rFonts w:hint="eastAsia" w:ascii="仿宋_GB2312" w:hAnsi="仿宋_GB2312" w:eastAsia="仿宋_GB2312" w:cs="仿宋_GB2312"/>
          <w:szCs w:val="21"/>
          <w:highlight w:val="none"/>
          <w:lang w:val="en-US" w:eastAsia="zh-CN"/>
        </w:rPr>
        <w:t>3</w:t>
      </w:r>
      <w:r>
        <w:rPr>
          <w:rFonts w:hint="eastAsia" w:ascii="仿宋_GB2312" w:hAnsi="仿宋_GB2312" w:eastAsia="仿宋_GB2312" w:cs="仿宋_GB2312"/>
          <w:szCs w:val="21"/>
          <w:highlight w:val="none"/>
          <w:lang w:eastAsia="zh-CN"/>
        </w:rPr>
        <w:t>.1最终工程竣工结算价款由分包人根据竣工图纸、设计变更、现场签证等编制施工结算书，经由发包人审核后作为工程结算依据。</w:t>
      </w:r>
    </w:p>
    <w:p w14:paraId="03EB04FC">
      <w:pPr>
        <w:pStyle w:val="2"/>
        <w:numPr>
          <w:ilvl w:val="0"/>
          <w:numId w:val="1"/>
        </w:numPr>
        <w:spacing w:before="156"/>
        <w:rPr>
          <w:rFonts w:hint="eastAsia"/>
          <w:highlight w:val="none"/>
        </w:rPr>
      </w:pPr>
      <w:r>
        <w:rPr>
          <w:rFonts w:hint="eastAsia"/>
          <w:highlight w:val="none"/>
        </w:rPr>
        <w:t>支付方式</w:t>
      </w:r>
      <w:bookmarkEnd w:id="14"/>
    </w:p>
    <w:p w14:paraId="71231484">
      <w:pPr>
        <w:bidi w:val="0"/>
        <w:rPr>
          <w:rFonts w:hint="eastAsia"/>
          <w:color w:val="auto"/>
          <w:sz w:val="21"/>
          <w:szCs w:val="21"/>
          <w:highlight w:val="none"/>
        </w:rPr>
      </w:pPr>
      <w:bookmarkStart w:id="16" w:name="_Toc17298"/>
      <w:r>
        <w:rPr>
          <w:rFonts w:hint="eastAsia"/>
          <w:color w:val="auto"/>
          <w:sz w:val="21"/>
          <w:szCs w:val="21"/>
          <w:highlight w:val="none"/>
        </w:rPr>
        <w:t>7.1</w:t>
      </w:r>
      <w:r>
        <w:rPr>
          <w:rFonts w:hint="eastAsia"/>
          <w:color w:val="auto"/>
          <w:sz w:val="21"/>
          <w:szCs w:val="21"/>
          <w:highlight w:val="none"/>
          <w:lang w:val="en-US" w:eastAsia="zh-CN"/>
        </w:rPr>
        <w:t>预付</w:t>
      </w:r>
      <w:r>
        <w:rPr>
          <w:rFonts w:hint="eastAsia"/>
          <w:color w:val="auto"/>
          <w:sz w:val="21"/>
          <w:szCs w:val="21"/>
          <w:highlight w:val="none"/>
        </w:rPr>
        <w:t>款</w:t>
      </w:r>
    </w:p>
    <w:p w14:paraId="1A6F1EE1">
      <w:pPr>
        <w:ind w:firstLine="420"/>
        <w:rPr>
          <w:rFonts w:hint="eastAsia"/>
          <w:color w:val="auto"/>
          <w:sz w:val="21"/>
          <w:szCs w:val="21"/>
          <w:highlight w:val="none"/>
        </w:rPr>
      </w:pPr>
      <w:r>
        <w:rPr>
          <w:rFonts w:hint="eastAsia"/>
          <w:color w:val="auto"/>
          <w:sz w:val="21"/>
          <w:szCs w:val="21"/>
          <w:highlight w:val="none"/>
          <w:lang w:val="en-US" w:eastAsia="zh-CN"/>
        </w:rPr>
        <w:t>7</w:t>
      </w:r>
      <w:r>
        <w:rPr>
          <w:rFonts w:hint="eastAsia"/>
          <w:color w:val="auto"/>
          <w:sz w:val="21"/>
          <w:szCs w:val="21"/>
          <w:highlight w:val="none"/>
        </w:rPr>
        <w:t>.</w:t>
      </w:r>
      <w:r>
        <w:rPr>
          <w:rFonts w:hint="eastAsia"/>
          <w:color w:val="auto"/>
          <w:sz w:val="21"/>
          <w:szCs w:val="21"/>
          <w:highlight w:val="none"/>
          <w:lang w:val="en-US" w:eastAsia="zh-CN"/>
        </w:rPr>
        <w:t>2</w:t>
      </w:r>
      <w:r>
        <w:rPr>
          <w:rFonts w:hint="eastAsia"/>
          <w:color w:val="auto"/>
          <w:sz w:val="21"/>
          <w:szCs w:val="21"/>
          <w:highlight w:val="none"/>
        </w:rPr>
        <w:t>进度款</w:t>
      </w:r>
    </w:p>
    <w:p w14:paraId="1EDA5780">
      <w:pPr>
        <w:ind w:firstLine="420"/>
        <w:rPr>
          <w:rFonts w:hint="eastAsia"/>
          <w:color w:val="auto"/>
          <w:sz w:val="21"/>
          <w:szCs w:val="21"/>
          <w:highlight w:val="none"/>
        </w:rPr>
      </w:pPr>
      <w:r>
        <w:rPr>
          <w:rFonts w:hint="eastAsia"/>
          <w:color w:val="auto"/>
          <w:sz w:val="21"/>
          <w:szCs w:val="21"/>
          <w:highlight w:val="none"/>
          <w:lang w:val="en-US" w:eastAsia="zh-CN"/>
        </w:rPr>
        <w:t>7</w:t>
      </w:r>
      <w:r>
        <w:rPr>
          <w:rFonts w:hint="eastAsia"/>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工程</w:t>
      </w:r>
      <w:r>
        <w:rPr>
          <w:rFonts w:hint="eastAsia"/>
          <w:color w:val="auto"/>
          <w:sz w:val="21"/>
          <w:szCs w:val="21"/>
          <w:highlight w:val="none"/>
          <w:lang w:val="en-US" w:eastAsia="zh-CN"/>
        </w:rPr>
        <w:t>结算</w:t>
      </w:r>
      <w:r>
        <w:rPr>
          <w:rFonts w:hint="eastAsia"/>
          <w:color w:val="auto"/>
          <w:sz w:val="21"/>
          <w:szCs w:val="21"/>
          <w:highlight w:val="none"/>
        </w:rPr>
        <w:t>款</w:t>
      </w:r>
    </w:p>
    <w:p w14:paraId="43B72942">
      <w:pPr>
        <w:bidi w:val="0"/>
        <w:rPr>
          <w:rFonts w:hint="default"/>
          <w:highlight w:val="none"/>
          <w:lang w:val="en-US" w:eastAsia="zh-CN"/>
        </w:rPr>
      </w:pPr>
      <w:r>
        <w:rPr>
          <w:rFonts w:hint="eastAsia"/>
          <w:highlight w:val="none"/>
        </w:rPr>
        <w:t>7.</w:t>
      </w:r>
      <w:r>
        <w:rPr>
          <w:rFonts w:hint="eastAsia"/>
          <w:highlight w:val="none"/>
          <w:lang w:val="en-US" w:eastAsia="zh-CN"/>
        </w:rPr>
        <w:t>4质量保证金</w:t>
      </w:r>
    </w:p>
    <w:p w14:paraId="4FC08ADF">
      <w:pPr>
        <w:rPr>
          <w:rFonts w:hint="eastAsia"/>
          <w:highlight w:val="none"/>
          <w:lang w:val="en-US" w:eastAsia="zh-CN"/>
        </w:rPr>
      </w:pPr>
      <w:r>
        <w:rPr>
          <w:rFonts w:hint="eastAsia"/>
          <w:highlight w:val="none"/>
          <w:lang w:val="en-US" w:eastAsia="zh-CN"/>
        </w:rPr>
        <w:t>7.5分包人应在施工人员进场前，为所有现场雇用人员（含管理人员及劳务人员）购买足额的人身意外伤害保险，并在进场前7个工作日内向发包人提交保单复印件备案。</w:t>
      </w:r>
      <w:r>
        <w:rPr>
          <w:rFonts w:hint="eastAsia"/>
          <w:color w:val="auto"/>
          <w:highlight w:val="none"/>
          <w:lang w:val="en-US" w:eastAsia="zh-CN"/>
        </w:rPr>
        <w:t>否则发包人有权拒付任何款项。</w:t>
      </w:r>
    </w:p>
    <w:p w14:paraId="0754BC88">
      <w:pPr>
        <w:pStyle w:val="2"/>
        <w:spacing w:before="156"/>
        <w:rPr>
          <w:highlight w:val="none"/>
        </w:rPr>
      </w:pPr>
      <w:r>
        <w:rPr>
          <w:rFonts w:hint="eastAsia"/>
          <w:highlight w:val="none"/>
        </w:rPr>
        <w:t>8.材料设备供应</w:t>
      </w:r>
      <w:bookmarkEnd w:id="16"/>
    </w:p>
    <w:p w14:paraId="58D155A4">
      <w:pPr>
        <w:ind w:firstLine="420"/>
        <w:rPr>
          <w:highlight w:val="none"/>
        </w:rPr>
      </w:pPr>
      <w:r>
        <w:rPr>
          <w:rFonts w:hint="eastAsia"/>
          <w:highlight w:val="none"/>
        </w:rPr>
        <w:t>8.1本工程发包人供应主要材料设备清单详见</w:t>
      </w:r>
      <w:r>
        <w:rPr>
          <w:rFonts w:hint="eastAsia"/>
          <w:highlight w:val="none"/>
          <w:lang w:val="en-US" w:eastAsia="zh-CN"/>
        </w:rPr>
        <w:t>合同</w:t>
      </w:r>
      <w:r>
        <w:rPr>
          <w:rFonts w:hint="eastAsia"/>
          <w:highlight w:val="none"/>
        </w:rPr>
        <w:t>附件2，发包人应在材料和工程设备到货前通知分包人，分包人应在约定的时间内，赴交货地点共同进行验收。分包人对发包人供应的材料和工程设备没有进行必要的检验或经检验不合格仍然使用的，视为分包人对建设工程质量缺陷存在过错，分包人应承担相应责任。验收后，由分包人负责接收、运输和保管。</w:t>
      </w:r>
    </w:p>
    <w:p w14:paraId="71CF632B">
      <w:pPr>
        <w:ind w:firstLine="420"/>
        <w:rPr>
          <w:highlight w:val="none"/>
        </w:rPr>
      </w:pPr>
      <w:r>
        <w:rPr>
          <w:rFonts w:hint="eastAsia"/>
          <w:highlight w:val="none"/>
        </w:rPr>
        <w:t>8.2除发包人供应的材料和工程设备外，本工程所需其他材料和工程设备均由分包人提供。分包人应按照设计说明、施工图纸和有关技术资料标准要求进行采购，提供材料设备产品的质量、环保合格证明，并对所购材料设备质量负责，如有不合格的材料和制品分包人必须负责更换并承担相应的费用。</w:t>
      </w:r>
    </w:p>
    <w:p w14:paraId="3C1C6CB8">
      <w:pPr>
        <w:ind w:firstLine="420"/>
        <w:rPr>
          <w:highlight w:val="none"/>
        </w:rPr>
      </w:pPr>
      <w:r>
        <w:rPr>
          <w:rFonts w:hint="eastAsia"/>
          <w:highlight w:val="none"/>
        </w:rPr>
        <w:t>8.3若发包人发现分包人采购的材料和工程设备与合同约定的施工标准不符，有权要求分包人重新提供，所拖延工期及因此增加费用分包人自行负责。</w:t>
      </w:r>
    </w:p>
    <w:p w14:paraId="3C4403BA">
      <w:pPr>
        <w:pStyle w:val="2"/>
        <w:spacing w:before="156"/>
        <w:rPr>
          <w:highlight w:val="none"/>
        </w:rPr>
      </w:pPr>
      <w:bookmarkStart w:id="17" w:name="_Toc16704"/>
      <w:r>
        <w:rPr>
          <w:rFonts w:hint="eastAsia"/>
          <w:highlight w:val="none"/>
        </w:rPr>
        <w:t>9.双方派驻本工程项目的代表</w:t>
      </w:r>
      <w:bookmarkEnd w:id="17"/>
    </w:p>
    <w:p w14:paraId="22B42857">
      <w:pPr>
        <w:ind w:firstLine="420"/>
        <w:rPr>
          <w:rFonts w:hint="eastAsia" w:cs="仿宋_GB2312"/>
          <w:kern w:val="2"/>
          <w:sz w:val="21"/>
          <w:szCs w:val="21"/>
          <w:highlight w:val="none"/>
          <w:u w:val="single"/>
          <w:lang w:val="en-US" w:eastAsia="zh-CN" w:bidi="ar-SA"/>
        </w:rPr>
      </w:pPr>
      <w:r>
        <w:rPr>
          <w:rFonts w:hint="eastAsia"/>
          <w:highlight w:val="none"/>
        </w:rPr>
        <w:t>9.1发包人派驻本工程项目的代表为</w:t>
      </w:r>
      <w:r>
        <w:rPr>
          <w:rFonts w:hint="eastAsia"/>
          <w:highlight w:val="none"/>
          <w:u w:val="single"/>
          <w:lang w:val="en-US" w:eastAsia="zh-CN"/>
        </w:rPr>
        <w:t xml:space="preserve">              </w:t>
      </w:r>
      <w:r>
        <w:rPr>
          <w:rFonts w:hint="eastAsia" w:cs="仿宋_GB2312"/>
          <w:kern w:val="2"/>
          <w:sz w:val="21"/>
          <w:szCs w:val="21"/>
          <w:highlight w:val="none"/>
          <w:u w:val="single"/>
          <w:lang w:val="en-US" w:eastAsia="zh-CN" w:bidi="ar-SA"/>
        </w:rPr>
        <w:t>。</w:t>
      </w:r>
    </w:p>
    <w:p w14:paraId="7718BA7A">
      <w:pPr>
        <w:ind w:firstLine="420"/>
        <w:rPr>
          <w:rFonts w:hint="eastAsia" w:cs="仿宋_GB2312"/>
          <w:kern w:val="2"/>
          <w:sz w:val="21"/>
          <w:szCs w:val="21"/>
          <w:highlight w:val="none"/>
          <w:u w:val="single"/>
          <w:lang w:val="en-US" w:eastAsia="zh-CN" w:bidi="ar-SA"/>
        </w:rPr>
      </w:pPr>
      <w:r>
        <w:rPr>
          <w:rFonts w:hint="eastAsia"/>
          <w:highlight w:val="none"/>
        </w:rPr>
        <w:t>9.2分包人派驻本工程项目的代表为</w:t>
      </w:r>
      <w:r>
        <w:rPr>
          <w:rFonts w:hint="eastAsia"/>
          <w:highlight w:val="none"/>
          <w:u w:val="single"/>
          <w:lang w:val="en-US" w:eastAsia="zh-CN"/>
        </w:rPr>
        <w:t xml:space="preserve">              </w:t>
      </w:r>
      <w:r>
        <w:rPr>
          <w:rFonts w:hint="eastAsia" w:cs="仿宋_GB2312"/>
          <w:kern w:val="2"/>
          <w:sz w:val="21"/>
          <w:szCs w:val="21"/>
          <w:highlight w:val="none"/>
          <w:u w:val="single"/>
          <w:lang w:val="en-US" w:eastAsia="zh-CN" w:bidi="ar-SA"/>
        </w:rPr>
        <w:t>。</w:t>
      </w:r>
    </w:p>
    <w:p w14:paraId="6E7462D9">
      <w:pPr>
        <w:ind w:firstLine="420"/>
        <w:rPr>
          <w:highlight w:val="none"/>
        </w:rPr>
      </w:pPr>
      <w:r>
        <w:rPr>
          <w:rFonts w:hint="eastAsia"/>
          <w:highlight w:val="none"/>
        </w:rPr>
        <w:t>9.3双方派驻本工程施工场地的代表，按照本合同约定行使各自派出方的权利，履行派出方的义务。</w:t>
      </w:r>
    </w:p>
    <w:p w14:paraId="0200FFCB">
      <w:pPr>
        <w:ind w:firstLine="420"/>
        <w:rPr>
          <w:highlight w:val="none"/>
        </w:rPr>
      </w:pPr>
      <w:r>
        <w:rPr>
          <w:rFonts w:hint="eastAsia"/>
          <w:highlight w:val="none"/>
        </w:rPr>
        <w:t>9.4发包人项目代表在授权范围内向分包人项目代表发出的任何书面形式的条件和指令，分包人项目代表应予执行。</w:t>
      </w:r>
    </w:p>
    <w:p w14:paraId="7B61C404">
      <w:pPr>
        <w:pStyle w:val="2"/>
        <w:spacing w:before="156"/>
        <w:rPr>
          <w:rFonts w:hint="eastAsia"/>
          <w:highlight w:val="none"/>
        </w:rPr>
      </w:pPr>
      <w:bookmarkStart w:id="18" w:name="_Toc13585"/>
      <w:r>
        <w:rPr>
          <w:rFonts w:hint="eastAsia"/>
          <w:highlight w:val="none"/>
        </w:rPr>
        <w:t>10.双方权利</w:t>
      </w:r>
      <w:bookmarkEnd w:id="18"/>
    </w:p>
    <w:p w14:paraId="70A9D346">
      <w:pPr>
        <w:ind w:firstLine="420"/>
        <w:rPr>
          <w:highlight w:val="none"/>
        </w:rPr>
      </w:pPr>
      <w:bookmarkStart w:id="19" w:name="_Toc138"/>
      <w:r>
        <w:rPr>
          <w:rFonts w:hint="eastAsia"/>
          <w:highlight w:val="none"/>
        </w:rPr>
        <w:t>10.1发包人权利</w:t>
      </w:r>
      <w:bookmarkEnd w:id="19"/>
    </w:p>
    <w:p w14:paraId="3E1B2515">
      <w:pPr>
        <w:ind w:firstLine="420"/>
        <w:rPr>
          <w:highlight w:val="none"/>
        </w:rPr>
      </w:pPr>
      <w:r>
        <w:rPr>
          <w:rFonts w:hint="eastAsia"/>
          <w:highlight w:val="none"/>
        </w:rPr>
        <w:t>10.1.1对工程安全质量管理、施工进度进行监督，参加材料、设备验收、隐蔽工程验收、竣工验收，检查工程安全管理工作。</w:t>
      </w:r>
    </w:p>
    <w:p w14:paraId="326A6BD3">
      <w:pPr>
        <w:ind w:firstLine="420"/>
        <w:rPr>
          <w:highlight w:val="none"/>
        </w:rPr>
      </w:pPr>
      <w:r>
        <w:rPr>
          <w:rFonts w:hint="eastAsia"/>
          <w:highlight w:val="none"/>
        </w:rPr>
        <w:t>10.1.2督促分包人安全文明施工，达到环境管理目标，不发生有损发包人形象和声誉的有责行风事件和媒体曝光事件。分包人在工程建设中存在违反有关安全规程、制度、要求时，发包人、监理人有权制止直至停止分包人的工作，并按照安全协议有关条款进行评价考核。</w:t>
      </w:r>
    </w:p>
    <w:p w14:paraId="0CE9CDE0">
      <w:pPr>
        <w:ind w:firstLine="420"/>
        <w:rPr>
          <w:highlight w:val="none"/>
        </w:rPr>
      </w:pPr>
      <w:bookmarkStart w:id="20" w:name="_Toc2745"/>
      <w:r>
        <w:rPr>
          <w:rFonts w:hint="eastAsia"/>
          <w:highlight w:val="none"/>
        </w:rPr>
        <w:t>10.2分包人权利</w:t>
      </w:r>
      <w:bookmarkEnd w:id="20"/>
    </w:p>
    <w:p w14:paraId="008BC160">
      <w:pPr>
        <w:ind w:firstLine="420"/>
        <w:rPr>
          <w:highlight w:val="none"/>
        </w:rPr>
      </w:pPr>
      <w:r>
        <w:rPr>
          <w:rFonts w:hint="eastAsia"/>
          <w:highlight w:val="none"/>
        </w:rPr>
        <w:t>10.2.1在征得发包人同意后，根据工程需要调换派驻本工程施工场地的代表，调换后代表的权责不变。</w:t>
      </w:r>
    </w:p>
    <w:p w14:paraId="0C863FCB">
      <w:pPr>
        <w:ind w:firstLine="420"/>
        <w:rPr>
          <w:szCs w:val="30"/>
          <w:highlight w:val="none"/>
        </w:rPr>
      </w:pPr>
      <w:bookmarkStart w:id="21" w:name="_Toc6836"/>
      <w:r>
        <w:rPr>
          <w:rFonts w:hint="eastAsia"/>
          <w:highlight w:val="none"/>
        </w:rPr>
        <w:t>10.2.2按合同约定取得工程价款。</w:t>
      </w:r>
      <w:bookmarkEnd w:id="21"/>
    </w:p>
    <w:p w14:paraId="1549FFE7">
      <w:pPr>
        <w:pStyle w:val="2"/>
        <w:spacing w:before="156"/>
        <w:rPr>
          <w:highlight w:val="none"/>
        </w:rPr>
      </w:pPr>
      <w:bookmarkStart w:id="22" w:name="_Toc14320"/>
      <w:r>
        <w:rPr>
          <w:rFonts w:hint="eastAsia"/>
          <w:highlight w:val="none"/>
        </w:rPr>
        <w:t>11.双方义务</w:t>
      </w:r>
      <w:bookmarkEnd w:id="22"/>
    </w:p>
    <w:p w14:paraId="52EB05E3">
      <w:pPr>
        <w:ind w:firstLine="420"/>
        <w:rPr>
          <w:highlight w:val="none"/>
        </w:rPr>
      </w:pPr>
      <w:bookmarkStart w:id="23" w:name="_Toc31845"/>
      <w:r>
        <w:rPr>
          <w:rFonts w:hint="eastAsia"/>
          <w:highlight w:val="none"/>
        </w:rPr>
        <w:t>11.1发包人义务</w:t>
      </w:r>
      <w:bookmarkEnd w:id="23"/>
    </w:p>
    <w:p w14:paraId="1D4DCA2B">
      <w:pPr>
        <w:ind w:firstLine="420"/>
        <w:rPr>
          <w:highlight w:val="none"/>
        </w:rPr>
      </w:pPr>
      <w:r>
        <w:rPr>
          <w:rFonts w:hint="eastAsia"/>
          <w:highlight w:val="none"/>
        </w:rPr>
        <w:t>11.1.1负责办理应由发包人负责的相关证件、批件。</w:t>
      </w:r>
    </w:p>
    <w:p w14:paraId="4C51969B">
      <w:pPr>
        <w:ind w:firstLine="420"/>
        <w:rPr>
          <w:highlight w:val="none"/>
        </w:rPr>
      </w:pPr>
      <w:r>
        <w:rPr>
          <w:rFonts w:hint="eastAsia"/>
          <w:highlight w:val="none"/>
        </w:rPr>
        <w:t>11.1.2按约定向分包人支付工程款。</w:t>
      </w:r>
    </w:p>
    <w:p w14:paraId="710BA0FB">
      <w:pPr>
        <w:ind w:firstLine="420"/>
        <w:rPr>
          <w:highlight w:val="none"/>
        </w:rPr>
      </w:pPr>
      <w:r>
        <w:rPr>
          <w:rFonts w:hint="eastAsia"/>
          <w:highlight w:val="none"/>
        </w:rPr>
        <w:t>11.1.3组织图纸会审和技术交底工作。</w:t>
      </w:r>
    </w:p>
    <w:p w14:paraId="662BB3DE">
      <w:pPr>
        <w:ind w:firstLine="420"/>
        <w:rPr>
          <w:highlight w:val="none"/>
        </w:rPr>
      </w:pPr>
      <w:r>
        <w:rPr>
          <w:rFonts w:hint="eastAsia"/>
          <w:highlight w:val="none"/>
        </w:rPr>
        <w:t>11.1.4提供应由发包人负责提供的有关技术资料。</w:t>
      </w:r>
    </w:p>
    <w:p w14:paraId="35A04110">
      <w:pPr>
        <w:ind w:firstLine="420"/>
        <w:rPr>
          <w:highlight w:val="none"/>
        </w:rPr>
      </w:pPr>
      <w:r>
        <w:rPr>
          <w:rFonts w:hint="eastAsia"/>
          <w:highlight w:val="none"/>
        </w:rPr>
        <w:t>11.1.5协调施工场地进行交叉作业的发包人发包的各专业施工单位间的关系。</w:t>
      </w:r>
    </w:p>
    <w:p w14:paraId="5FECCE7D">
      <w:pPr>
        <w:ind w:firstLine="420"/>
        <w:rPr>
          <w:highlight w:val="none"/>
        </w:rPr>
      </w:pPr>
      <w:r>
        <w:rPr>
          <w:rFonts w:hint="eastAsia"/>
          <w:highlight w:val="none"/>
        </w:rPr>
        <w:t>11.1.6及时组织竣工验收。</w:t>
      </w:r>
    </w:p>
    <w:p w14:paraId="1ABA7CC9">
      <w:pPr>
        <w:ind w:firstLine="420"/>
        <w:rPr>
          <w:highlight w:val="none"/>
        </w:rPr>
      </w:pPr>
      <w:bookmarkStart w:id="24" w:name="_Toc22023"/>
      <w:r>
        <w:rPr>
          <w:rFonts w:hint="eastAsia"/>
          <w:highlight w:val="none"/>
        </w:rPr>
        <w:t>11.2分包人义务</w:t>
      </w:r>
      <w:bookmarkEnd w:id="24"/>
    </w:p>
    <w:p w14:paraId="7F51E9A8">
      <w:pPr>
        <w:ind w:firstLine="420"/>
        <w:rPr>
          <w:highlight w:val="none"/>
        </w:rPr>
      </w:pPr>
      <w:r>
        <w:rPr>
          <w:rFonts w:hint="eastAsia"/>
          <w:highlight w:val="none"/>
        </w:rPr>
        <w:t>11.2.1制定并组织落实施工进度计划、工程施工组织设计、质量、安全保证组织措施和技术措施。</w:t>
      </w:r>
    </w:p>
    <w:p w14:paraId="047DCC8B">
      <w:pPr>
        <w:ind w:firstLine="420"/>
        <w:rPr>
          <w:highlight w:val="none"/>
        </w:rPr>
      </w:pPr>
      <w:bookmarkStart w:id="25" w:name="_Toc24430"/>
      <w:r>
        <w:rPr>
          <w:rFonts w:hint="eastAsia"/>
          <w:highlight w:val="none"/>
        </w:rPr>
        <w:t>11.2.2办理法律规定的有关施工证件和批件。</w:t>
      </w:r>
      <w:bookmarkEnd w:id="25"/>
    </w:p>
    <w:p w14:paraId="691CA35F">
      <w:pPr>
        <w:ind w:firstLine="420"/>
        <w:rPr>
          <w:highlight w:val="none"/>
        </w:rPr>
      </w:pPr>
      <w:r>
        <w:rPr>
          <w:rFonts w:hint="eastAsia"/>
          <w:highlight w:val="none"/>
        </w:rPr>
        <w:t>11.2.3并保证人力、机具满足施工进度要求。</w:t>
      </w:r>
    </w:p>
    <w:p w14:paraId="0AB45A2B">
      <w:pPr>
        <w:ind w:firstLine="420"/>
        <w:rPr>
          <w:highlight w:val="none"/>
        </w:rPr>
      </w:pPr>
      <w:r>
        <w:rPr>
          <w:rFonts w:hint="eastAsia"/>
          <w:highlight w:val="none"/>
        </w:rPr>
        <w:t>11.2.4严格执行甲方施工分包管理制度，落实施工分包管理工作各项要求，采取适当的预防措施，以保证其分包人员的安全，在分包人承担的工程及其负责管理的范围内所发生的设备、人身伤亡事故、交通事故、电网事故，其责任和由此发生的</w:t>
      </w:r>
      <w:r>
        <w:rPr>
          <w:rFonts w:hint="eastAsia"/>
          <w:highlight w:val="none"/>
          <w:lang w:eastAsia="zh-CN"/>
        </w:rPr>
        <w:t>全部</w:t>
      </w:r>
      <w:r>
        <w:rPr>
          <w:rFonts w:hint="eastAsia"/>
          <w:highlight w:val="none"/>
        </w:rPr>
        <w:t>费用均由分包人负责。</w:t>
      </w:r>
    </w:p>
    <w:p w14:paraId="43F3D141">
      <w:pPr>
        <w:ind w:firstLine="420"/>
        <w:rPr>
          <w:highlight w:val="none"/>
        </w:rPr>
      </w:pPr>
      <w:r>
        <w:rPr>
          <w:rFonts w:hint="eastAsia"/>
          <w:highlight w:val="none"/>
        </w:rPr>
        <w:t>11.2.5分包人应采取预防措施，防止其人员或在其人员之间发生任何违法或妨害治安的行为。</w:t>
      </w:r>
    </w:p>
    <w:p w14:paraId="7BAF75D7">
      <w:pPr>
        <w:ind w:firstLine="420"/>
        <w:rPr>
          <w:highlight w:val="none"/>
        </w:rPr>
      </w:pPr>
      <w:r>
        <w:rPr>
          <w:rFonts w:hint="eastAsia"/>
          <w:highlight w:val="none"/>
        </w:rPr>
        <w:t>11.2.6遵守政府有关主管部门对施工场地交通、施工噪音、环境保护和安全生产等管理规定。</w:t>
      </w:r>
    </w:p>
    <w:p w14:paraId="1548A109">
      <w:pPr>
        <w:ind w:firstLine="420"/>
        <w:rPr>
          <w:highlight w:val="none"/>
        </w:rPr>
      </w:pPr>
      <w:r>
        <w:rPr>
          <w:rFonts w:hint="eastAsia"/>
          <w:highlight w:val="none"/>
        </w:rPr>
        <w:t>11.2.7分包人应按发包人的相关规定和要求及时清理现场丢弃的垃圾至固定堆放地点。</w:t>
      </w:r>
    </w:p>
    <w:p w14:paraId="1E56875A">
      <w:pPr>
        <w:ind w:firstLine="420"/>
        <w:rPr>
          <w:highlight w:val="none"/>
        </w:rPr>
      </w:pPr>
      <w:r>
        <w:rPr>
          <w:rFonts w:hint="eastAsia"/>
          <w:highlight w:val="none"/>
        </w:rPr>
        <w:t>11.2.8严格按照环评、水保报告和当地的环保要求以及设计文件组织施工，确保不因施工原因影响项目通过环评、水保验收。</w:t>
      </w:r>
    </w:p>
    <w:p w14:paraId="78933A32">
      <w:pPr>
        <w:ind w:firstLine="420"/>
        <w:rPr>
          <w:highlight w:val="none"/>
        </w:rPr>
      </w:pPr>
      <w:r>
        <w:rPr>
          <w:rFonts w:hint="eastAsia"/>
          <w:highlight w:val="none"/>
        </w:rPr>
        <w:t>11.2.9参加设计交底，对设计图纸中可能存在问题，应及时告之发包人，并配合发包人做好相关工作。分包人明知发包人提供的设计图纸、指令存在问题或者在施工过程中发现问题，而没有及时提出意见和建议并继续施工，由此造成质量缺陷的，分包人应承担相应责任。</w:t>
      </w:r>
    </w:p>
    <w:p w14:paraId="432C7A56">
      <w:pPr>
        <w:ind w:firstLine="420"/>
        <w:rPr>
          <w:highlight w:val="none"/>
        </w:rPr>
      </w:pPr>
      <w:r>
        <w:rPr>
          <w:rFonts w:hint="eastAsia"/>
          <w:highlight w:val="none"/>
        </w:rPr>
        <w:t>11.2.10已竣工工程在未正式交付发包人之前，应负责工程成品保护工作;保护期间，发生损坏，分包人自费予以修复;由于分包人不履行上述义务，造成工期延误和经济损失，责任由分包人承担。</w:t>
      </w:r>
    </w:p>
    <w:p w14:paraId="1C5E1DEB">
      <w:pPr>
        <w:ind w:firstLine="420"/>
        <w:rPr>
          <w:highlight w:val="none"/>
        </w:rPr>
      </w:pPr>
      <w:r>
        <w:rPr>
          <w:rFonts w:hint="eastAsia"/>
          <w:highlight w:val="none"/>
        </w:rPr>
        <w:t>11.2.11负责施工场地的清洁，符合环境卫生管理的有关规定。</w:t>
      </w:r>
    </w:p>
    <w:p w14:paraId="61AE90B1">
      <w:pPr>
        <w:bidi w:val="0"/>
        <w:rPr>
          <w:highlight w:val="none"/>
        </w:rPr>
      </w:pPr>
      <w:bookmarkStart w:id="26" w:name="_Toc22217"/>
      <w:r>
        <w:rPr>
          <w:rFonts w:hint="eastAsia"/>
          <w:highlight w:val="none"/>
        </w:rPr>
        <w:t>11.2.12承担施工期间的水源、电源等费用。</w:t>
      </w:r>
      <w:bookmarkEnd w:id="26"/>
    </w:p>
    <w:p w14:paraId="00F1CBB8">
      <w:pPr>
        <w:ind w:firstLine="420"/>
        <w:rPr>
          <w:highlight w:val="none"/>
        </w:rPr>
      </w:pPr>
      <w:r>
        <w:rPr>
          <w:rFonts w:hint="eastAsia"/>
          <w:highlight w:val="none"/>
        </w:rPr>
        <w:t>11.2.13分包人负责按发包人提供的废旧物资回收计划进行废旧物资回收工作并经发包人认可。否则发包人有权利根据拆除物资的缺少情况扣除分包人的工程款(扣除工程款金额参考同类废旧物资的近期竞价处置金额)。</w:t>
      </w:r>
    </w:p>
    <w:p w14:paraId="5720F728">
      <w:pPr>
        <w:ind w:firstLine="420"/>
        <w:rPr>
          <w:szCs w:val="30"/>
          <w:highlight w:val="none"/>
        </w:rPr>
      </w:pPr>
      <w:r>
        <w:rPr>
          <w:rFonts w:hint="eastAsia"/>
          <w:highlight w:val="none"/>
        </w:rPr>
        <w:t>11.2.14经工程现场验收后，分包人应当将验收核定的结余物资按批次工程规格型号和数量退回发包人物资仓库。如分包人不能如数退还入库结余物资，发包人有权按照工程审计结论及批次工程物资招标价格暂扣分包人同等价值金额的工程款。在分包人退还全部应退还结余物资后，发包人向分包人退还暂扣的工程</w:t>
      </w:r>
      <w:r>
        <w:rPr>
          <w:rFonts w:hint="eastAsia"/>
          <w:szCs w:val="30"/>
          <w:highlight w:val="none"/>
        </w:rPr>
        <w:t>款。</w:t>
      </w:r>
    </w:p>
    <w:p w14:paraId="26B6A4E8">
      <w:pPr>
        <w:bidi w:val="0"/>
        <w:rPr>
          <w:highlight w:val="none"/>
        </w:rPr>
      </w:pPr>
      <w:bookmarkStart w:id="27" w:name="_Toc30202"/>
      <w:r>
        <w:rPr>
          <w:rFonts w:hint="eastAsia"/>
          <w:highlight w:val="none"/>
        </w:rPr>
        <w:t>11.2.15保障农民工工资支付</w:t>
      </w:r>
      <w:bookmarkEnd w:id="27"/>
    </w:p>
    <w:p w14:paraId="47E12263">
      <w:pPr>
        <w:ind w:firstLine="420"/>
        <w:rPr>
          <w:highlight w:val="none"/>
        </w:rPr>
      </w:pPr>
      <w:r>
        <w:rPr>
          <w:rFonts w:hint="eastAsia"/>
          <w:highlight w:val="none"/>
        </w:rPr>
        <w:t>(1)分包人应当开设农民工工资款专用账户，专项用于支付本工程建设项目农民工工资，并妥善保存农民工工资专用账户开设、使用的有关资料。</w:t>
      </w:r>
    </w:p>
    <w:p w14:paraId="22F0FC18">
      <w:pPr>
        <w:ind w:firstLine="420"/>
        <w:rPr>
          <w:highlight w:val="none"/>
        </w:rPr>
      </w:pPr>
      <w:r>
        <w:rPr>
          <w:rFonts w:hint="eastAsia"/>
          <w:highlight w:val="none"/>
        </w:rPr>
        <w:t>(2)分包人应当建立用工管理台账，台账应当包括单位名称、支付周期、支付日期、支付对象姓名、身份证号码、联系方式、工作时间，应发工资项目及数额、代扣、代缴、扣除项目和数额，实发工资数额，银行代发工资凭证和农民工人员签字等内容。</w:t>
      </w:r>
    </w:p>
    <w:p w14:paraId="1203ED2D">
      <w:pPr>
        <w:ind w:firstLine="420"/>
        <w:rPr>
          <w:highlight w:val="none"/>
        </w:rPr>
      </w:pPr>
      <w:r>
        <w:rPr>
          <w:rFonts w:hint="eastAsia"/>
          <w:highlight w:val="none"/>
        </w:rPr>
        <w:t>(3)分包人应当依法与其所招用的农民工订立劳动合同并进行用工实名登记，否则施工人员不得进入项目现场施工。</w:t>
      </w:r>
    </w:p>
    <w:p w14:paraId="3BAEA3A0">
      <w:pPr>
        <w:ind w:firstLine="420"/>
        <w:rPr>
          <w:highlight w:val="none"/>
        </w:rPr>
      </w:pPr>
      <w:r>
        <w:rPr>
          <w:highlight w:val="none"/>
        </w:rPr>
        <w:t>(</w:t>
      </w:r>
      <w:r>
        <w:rPr>
          <w:rFonts w:hint="eastAsia"/>
          <w:highlight w:val="none"/>
        </w:rPr>
        <w:t>4</w:t>
      </w:r>
      <w:r>
        <w:rPr>
          <w:highlight w:val="none"/>
        </w:rPr>
        <w:t>)</w:t>
      </w:r>
      <w:r>
        <w:rPr>
          <w:rFonts w:hint="eastAsia"/>
          <w:highlight w:val="none"/>
        </w:rPr>
        <w:t>如分包人</w:t>
      </w:r>
      <w:r>
        <w:rPr>
          <w:highlight w:val="none"/>
        </w:rPr>
        <w:t>出现拖欠农民工工资纠纷</w:t>
      </w:r>
      <w:r>
        <w:rPr>
          <w:rFonts w:hint="eastAsia"/>
          <w:highlight w:val="none"/>
        </w:rPr>
        <w:t>，</w:t>
      </w:r>
      <w:r>
        <w:rPr>
          <w:highlight w:val="none"/>
        </w:rPr>
        <w:t>发包人有权从未结工程款中扣减与拖欠工资对应款项，并向农民工支付，该行为视为发包人已按期履行相应的工程款支付义务。</w:t>
      </w:r>
    </w:p>
    <w:p w14:paraId="55D53D5A">
      <w:pPr>
        <w:bidi w:val="0"/>
        <w:rPr>
          <w:rFonts w:hint="eastAsia" w:eastAsia="仿宋_GB2312"/>
          <w:highlight w:val="none"/>
          <w:lang w:eastAsia="zh-CN"/>
        </w:rPr>
      </w:pPr>
      <w:bookmarkStart w:id="28" w:name="_Toc2255"/>
      <w:r>
        <w:rPr>
          <w:highlight w:val="none"/>
        </w:rPr>
        <w:t>11.2.</w:t>
      </w:r>
      <w:r>
        <w:rPr>
          <w:rFonts w:hint="eastAsia"/>
          <w:highlight w:val="none"/>
        </w:rPr>
        <w:t>16分包人</w:t>
      </w:r>
      <w:r>
        <w:rPr>
          <w:highlight w:val="none"/>
        </w:rPr>
        <w:t>应负责的其他工作</w:t>
      </w:r>
      <w:bookmarkEnd w:id="28"/>
      <w:r>
        <w:rPr>
          <w:rFonts w:hint="eastAsia"/>
          <w:highlight w:val="none"/>
          <w:lang w:eastAsia="zh-CN"/>
        </w:rPr>
        <w:t>。</w:t>
      </w:r>
    </w:p>
    <w:p w14:paraId="709F7CD6">
      <w:pPr>
        <w:pStyle w:val="2"/>
        <w:spacing w:before="156"/>
        <w:rPr>
          <w:highlight w:val="none"/>
        </w:rPr>
      </w:pPr>
      <w:bookmarkStart w:id="29" w:name="_Toc16005"/>
      <w:r>
        <w:rPr>
          <w:highlight w:val="none"/>
        </w:rPr>
        <w:t>12</w:t>
      </w:r>
      <w:r>
        <w:rPr>
          <w:rFonts w:hint="eastAsia"/>
          <w:highlight w:val="none"/>
        </w:rPr>
        <w:t>.</w:t>
      </w:r>
      <w:r>
        <w:rPr>
          <w:highlight w:val="none"/>
        </w:rPr>
        <w:t>工程验收和保修</w:t>
      </w:r>
      <w:bookmarkEnd w:id="29"/>
    </w:p>
    <w:p w14:paraId="31850119">
      <w:pPr>
        <w:ind w:firstLine="420"/>
        <w:rPr>
          <w:highlight w:val="none"/>
        </w:rPr>
      </w:pPr>
      <w:r>
        <w:rPr>
          <w:highlight w:val="none"/>
        </w:rPr>
        <w:t>12.1隐蔽工程验收:具备隐蔽条件的工程部位，</w:t>
      </w:r>
      <w:r>
        <w:rPr>
          <w:rFonts w:hint="eastAsia"/>
          <w:highlight w:val="none"/>
        </w:rPr>
        <w:t>分包人</w:t>
      </w:r>
      <w:r>
        <w:rPr>
          <w:highlight w:val="none"/>
        </w:rPr>
        <w:t>应在自检合格后通知发包人代表</w:t>
      </w:r>
      <w:r>
        <w:rPr>
          <w:rFonts w:hint="eastAsia"/>
          <w:highlight w:val="none"/>
        </w:rPr>
        <w:t>或监理工程师</w:t>
      </w:r>
      <w:r>
        <w:rPr>
          <w:highlight w:val="none"/>
        </w:rPr>
        <w:t>验收，验收合格并经发包人代表</w:t>
      </w:r>
      <w:r>
        <w:rPr>
          <w:rFonts w:hint="eastAsia"/>
          <w:highlight w:val="none"/>
        </w:rPr>
        <w:t>或监理工程师</w:t>
      </w:r>
      <w:r>
        <w:rPr>
          <w:highlight w:val="none"/>
        </w:rPr>
        <w:t>在检验记录上签字后，</w:t>
      </w:r>
      <w:r>
        <w:rPr>
          <w:rFonts w:hint="eastAsia"/>
          <w:highlight w:val="none"/>
        </w:rPr>
        <w:t>分包人</w:t>
      </w:r>
      <w:r>
        <w:rPr>
          <w:highlight w:val="none"/>
        </w:rPr>
        <w:t>才可进行隐蔽和继续施工。</w:t>
      </w:r>
    </w:p>
    <w:p w14:paraId="5687F086">
      <w:pPr>
        <w:ind w:firstLine="420"/>
        <w:rPr>
          <w:highlight w:val="none"/>
        </w:rPr>
      </w:pPr>
      <w:bookmarkStart w:id="30" w:name="_Toc21620"/>
      <w:r>
        <w:rPr>
          <w:highlight w:val="none"/>
        </w:rPr>
        <w:t>12.2竣工验收</w:t>
      </w:r>
      <w:bookmarkEnd w:id="30"/>
    </w:p>
    <w:p w14:paraId="382339B8">
      <w:pPr>
        <w:ind w:firstLine="420"/>
        <w:rPr>
          <w:highlight w:val="none"/>
        </w:rPr>
      </w:pPr>
      <w:r>
        <w:rPr>
          <w:highlight w:val="none"/>
        </w:rPr>
        <w:t>12.2.1工程具备竣工验收条件的，</w:t>
      </w:r>
      <w:r>
        <w:rPr>
          <w:rFonts w:hint="eastAsia"/>
          <w:highlight w:val="none"/>
        </w:rPr>
        <w:t>分包人</w:t>
      </w:r>
      <w:r>
        <w:rPr>
          <w:highlight w:val="none"/>
        </w:rPr>
        <w:t>应按国家竣工验收的有关规定在施工完成后7日内向发包人提交竣工验收</w:t>
      </w:r>
      <w:r>
        <w:rPr>
          <w:rFonts w:hint="eastAsia"/>
          <w:highlight w:val="none"/>
        </w:rPr>
        <w:t>申请</w:t>
      </w:r>
      <w:r>
        <w:rPr>
          <w:highlight w:val="none"/>
        </w:rPr>
        <w:t>报告。发包人审查后认为尚不具备验收条件的，应通知</w:t>
      </w:r>
      <w:r>
        <w:rPr>
          <w:rFonts w:hint="eastAsia"/>
          <w:highlight w:val="none"/>
        </w:rPr>
        <w:t>分包人</w:t>
      </w:r>
      <w:r>
        <w:rPr>
          <w:highlight w:val="none"/>
        </w:rPr>
        <w:t>在竣工验收前</w:t>
      </w:r>
      <w:r>
        <w:rPr>
          <w:rFonts w:hint="eastAsia"/>
          <w:highlight w:val="none"/>
        </w:rPr>
        <w:t>分包人</w:t>
      </w:r>
      <w:r>
        <w:rPr>
          <w:highlight w:val="none"/>
        </w:rPr>
        <w:t>还需完成的工作内容，</w:t>
      </w:r>
      <w:r>
        <w:rPr>
          <w:rFonts w:hint="eastAsia"/>
          <w:highlight w:val="none"/>
        </w:rPr>
        <w:t>分包人</w:t>
      </w:r>
      <w:r>
        <w:rPr>
          <w:highlight w:val="none"/>
        </w:rPr>
        <w:t>应在完成全部工作内容后，再次提交竣工验收</w:t>
      </w:r>
      <w:r>
        <w:rPr>
          <w:rFonts w:hint="eastAsia"/>
          <w:highlight w:val="none"/>
        </w:rPr>
        <w:t>申请</w:t>
      </w:r>
      <w:r>
        <w:rPr>
          <w:highlight w:val="none"/>
        </w:rPr>
        <w:t>报告。发包人审查后认为已具备竣工验收条件的，发包人应在收到报告后7日内</w:t>
      </w:r>
      <w:r>
        <w:rPr>
          <w:rFonts w:hint="eastAsia"/>
          <w:highlight w:val="none"/>
        </w:rPr>
        <w:t>组织</w:t>
      </w:r>
      <w:r>
        <w:rPr>
          <w:highlight w:val="none"/>
        </w:rPr>
        <w:t>验收。</w:t>
      </w:r>
    </w:p>
    <w:p w14:paraId="3A6A170B">
      <w:pPr>
        <w:ind w:firstLine="420"/>
        <w:rPr>
          <w:highlight w:val="none"/>
        </w:rPr>
      </w:pPr>
      <w:r>
        <w:rPr>
          <w:highlight w:val="none"/>
        </w:rPr>
        <w:t>12.2.2竣工验收不台格的，</w:t>
      </w:r>
      <w:r>
        <w:rPr>
          <w:rFonts w:hint="eastAsia"/>
          <w:highlight w:val="none"/>
        </w:rPr>
        <w:t>分包人</w:t>
      </w:r>
      <w:r>
        <w:rPr>
          <w:highlight w:val="none"/>
        </w:rPr>
        <w:t>应按照验收意见对不合格工程返工、修复或</w:t>
      </w:r>
      <w:r>
        <w:rPr>
          <w:rFonts w:hint="eastAsia"/>
          <w:highlight w:val="none"/>
        </w:rPr>
        <w:t>采取其他</w:t>
      </w:r>
      <w:r>
        <w:rPr>
          <w:highlight w:val="none"/>
        </w:rPr>
        <w:t>补救措施。由此增加的费用和(或)延误的工期由</w:t>
      </w:r>
      <w:r>
        <w:rPr>
          <w:rFonts w:hint="eastAsia"/>
          <w:highlight w:val="none"/>
        </w:rPr>
        <w:t>分包人</w:t>
      </w:r>
      <w:r>
        <w:rPr>
          <w:highlight w:val="none"/>
        </w:rPr>
        <w:t>承担。</w:t>
      </w:r>
      <w:r>
        <w:rPr>
          <w:rFonts w:hint="eastAsia"/>
          <w:highlight w:val="none"/>
        </w:rPr>
        <w:t>分包人</w:t>
      </w:r>
      <w:r>
        <w:rPr>
          <w:highlight w:val="none"/>
        </w:rPr>
        <w:t>在</w:t>
      </w:r>
      <w:r>
        <w:rPr>
          <w:rFonts w:hint="eastAsia"/>
          <w:highlight w:val="none"/>
        </w:rPr>
        <w:t>完成不合格</w:t>
      </w:r>
      <w:r>
        <w:rPr>
          <w:highlight w:val="none"/>
        </w:rPr>
        <w:t>工程的返工、修复或</w:t>
      </w:r>
      <w:r>
        <w:rPr>
          <w:rFonts w:hint="eastAsia"/>
          <w:highlight w:val="none"/>
        </w:rPr>
        <w:t>采取</w:t>
      </w:r>
      <w:r>
        <w:rPr>
          <w:highlight w:val="none"/>
        </w:rPr>
        <w:t>其他补救措施后，应重新提交竣工验收申请报告、并按</w:t>
      </w:r>
      <w:r>
        <w:rPr>
          <w:rFonts w:hint="eastAsia"/>
          <w:highlight w:val="none"/>
        </w:rPr>
        <w:t>本款</w:t>
      </w:r>
      <w:r>
        <w:rPr>
          <w:highlight w:val="none"/>
        </w:rPr>
        <w:t>约定的</w:t>
      </w:r>
      <w:r>
        <w:rPr>
          <w:rFonts w:hint="eastAsia"/>
          <w:highlight w:val="none"/>
        </w:rPr>
        <w:t>程序重</w:t>
      </w:r>
      <w:r>
        <w:rPr>
          <w:highlight w:val="none"/>
        </w:rPr>
        <w:t>新进行验收。</w:t>
      </w:r>
    </w:p>
    <w:p w14:paraId="1302DA9D">
      <w:pPr>
        <w:ind w:firstLine="420"/>
        <w:rPr>
          <w:highlight w:val="none"/>
        </w:rPr>
      </w:pPr>
      <w:r>
        <w:rPr>
          <w:highlight w:val="none"/>
        </w:rPr>
        <w:t>12.2.3</w:t>
      </w:r>
      <w:r>
        <w:rPr>
          <w:rFonts w:hint="eastAsia"/>
          <w:highlight w:val="none"/>
        </w:rPr>
        <w:t>分包人</w:t>
      </w:r>
      <w:r>
        <w:rPr>
          <w:highlight w:val="none"/>
        </w:rPr>
        <w:t>应按发包人验收意见及要求，进行修改并承担因自身原因造成的修改费用。</w:t>
      </w:r>
      <w:r>
        <w:rPr>
          <w:rFonts w:hint="eastAsia"/>
          <w:highlight w:val="none"/>
        </w:rPr>
        <w:t>分包人</w:t>
      </w:r>
      <w:r>
        <w:rPr>
          <w:highlight w:val="none"/>
        </w:rPr>
        <w:t>拒绝修改或修改后经验收仍不合格的发包人有权聘请第三方进行修改，</w:t>
      </w:r>
      <w:r>
        <w:rPr>
          <w:rFonts w:hint="eastAsia"/>
          <w:highlight w:val="none"/>
        </w:rPr>
        <w:t>分包人</w:t>
      </w:r>
      <w:r>
        <w:rPr>
          <w:highlight w:val="none"/>
        </w:rPr>
        <w:t>承担由此发生的全部费用。</w:t>
      </w:r>
    </w:p>
    <w:p w14:paraId="6F8975CD">
      <w:pPr>
        <w:ind w:firstLine="420"/>
        <w:rPr>
          <w:highlight w:val="none"/>
        </w:rPr>
      </w:pPr>
      <w:r>
        <w:rPr>
          <w:highlight w:val="none"/>
        </w:rPr>
        <w:t>12.2.</w:t>
      </w:r>
      <w:r>
        <w:rPr>
          <w:rFonts w:hint="eastAsia"/>
          <w:highlight w:val="none"/>
        </w:rPr>
        <w:t>4</w:t>
      </w:r>
      <w:r>
        <w:rPr>
          <w:highlight w:val="none"/>
        </w:rPr>
        <w:t>实际竣工日期为发包人竣工验收合格出具工程竣工验收相关证书或验收报告的日期。竣工日期也视为工程保修期起始目期。</w:t>
      </w:r>
    </w:p>
    <w:p w14:paraId="07791F3B">
      <w:pPr>
        <w:ind w:firstLine="420"/>
        <w:rPr>
          <w:highlight w:val="none"/>
        </w:rPr>
      </w:pPr>
      <w:bookmarkStart w:id="31" w:name="_Toc10337"/>
      <w:r>
        <w:rPr>
          <w:highlight w:val="none"/>
        </w:rPr>
        <w:t>12.3保修责任</w:t>
      </w:r>
      <w:bookmarkEnd w:id="31"/>
    </w:p>
    <w:p w14:paraId="4CAFC152">
      <w:pPr>
        <w:ind w:firstLine="420"/>
        <w:rPr>
          <w:highlight w:val="none"/>
        </w:rPr>
      </w:pPr>
      <w:r>
        <w:rPr>
          <w:highlight w:val="none"/>
        </w:rPr>
        <w:t>保修期内</w:t>
      </w:r>
      <w:r>
        <w:rPr>
          <w:rFonts w:hint="eastAsia"/>
          <w:highlight w:val="none"/>
        </w:rPr>
        <w:t>分包人</w:t>
      </w:r>
      <w:r>
        <w:rPr>
          <w:highlight w:val="none"/>
        </w:rPr>
        <w:t>应在接到发包人维修通知后及时进行维修，未按上述约定履行无偿维修义务的，发包人有权聘请第三方代为履行，所需全部费用由</w:t>
      </w:r>
      <w:r>
        <w:rPr>
          <w:rFonts w:hint="eastAsia"/>
          <w:highlight w:val="none"/>
        </w:rPr>
        <w:t>分包人</w:t>
      </w:r>
      <w:r>
        <w:rPr>
          <w:highlight w:val="none"/>
        </w:rPr>
        <w:t>承担，分包人还需对发包人因维修延误或其他相关问题所遭受的全部损失予以赔偿。</w:t>
      </w:r>
    </w:p>
    <w:p w14:paraId="0D984B0C">
      <w:pPr>
        <w:pStyle w:val="2"/>
        <w:spacing w:before="156"/>
        <w:rPr>
          <w:highlight w:val="none"/>
        </w:rPr>
      </w:pPr>
      <w:bookmarkStart w:id="32" w:name="_Toc11346"/>
      <w:r>
        <w:rPr>
          <w:highlight w:val="none"/>
        </w:rPr>
        <w:t>13.知识产权</w:t>
      </w:r>
      <w:bookmarkEnd w:id="32"/>
    </w:p>
    <w:p w14:paraId="2683C030">
      <w:pPr>
        <w:ind w:firstLine="420"/>
        <w:rPr>
          <w:highlight w:val="none"/>
        </w:rPr>
      </w:pPr>
      <w:r>
        <w:rPr>
          <w:highlight w:val="none"/>
        </w:rPr>
        <w:t>13.1</w:t>
      </w:r>
      <w:r>
        <w:rPr>
          <w:rFonts w:hint="eastAsia"/>
          <w:highlight w:val="none"/>
        </w:rPr>
        <w:t>分包人</w:t>
      </w:r>
      <w:r>
        <w:rPr>
          <w:highlight w:val="none"/>
        </w:rPr>
        <w:t>在使用任何材料、设备、或采用施工工艺时，因侵犯专利权或其他知识产权所引起的责任，由</w:t>
      </w:r>
      <w:r>
        <w:rPr>
          <w:rFonts w:hint="eastAsia"/>
          <w:highlight w:val="none"/>
        </w:rPr>
        <w:t>分包人</w:t>
      </w:r>
      <w:r>
        <w:rPr>
          <w:highlight w:val="none"/>
        </w:rPr>
        <w:t>承担。</w:t>
      </w:r>
    </w:p>
    <w:p w14:paraId="2770A717">
      <w:pPr>
        <w:ind w:firstLine="420"/>
        <w:rPr>
          <w:highlight w:val="none"/>
        </w:rPr>
      </w:pPr>
      <w:r>
        <w:rPr>
          <w:highlight w:val="none"/>
        </w:rPr>
        <w:t>13.2</w:t>
      </w:r>
      <w:r>
        <w:rPr>
          <w:rFonts w:hint="eastAsia"/>
          <w:highlight w:val="none"/>
        </w:rPr>
        <w:t>分包人</w:t>
      </w:r>
      <w:r>
        <w:rPr>
          <w:highlight w:val="none"/>
        </w:rPr>
        <w:t>采用专利技术的，专利技术的使用费包含在合同价格中</w:t>
      </w:r>
      <w:r>
        <w:rPr>
          <w:rFonts w:hint="eastAsia"/>
          <w:highlight w:val="none"/>
        </w:rPr>
        <w:t>。</w:t>
      </w:r>
    </w:p>
    <w:p w14:paraId="27C6D2EE">
      <w:pPr>
        <w:ind w:firstLine="420"/>
        <w:rPr>
          <w:highlight w:val="none"/>
        </w:rPr>
      </w:pPr>
      <w:r>
        <w:rPr>
          <w:highlight w:val="none"/>
        </w:rPr>
        <w:t>13.3除</w:t>
      </w:r>
      <w:r>
        <w:rPr>
          <w:rFonts w:hint="eastAsia"/>
          <w:highlight w:val="none"/>
        </w:rPr>
        <w:t>分包人</w:t>
      </w:r>
      <w:r>
        <w:rPr>
          <w:highlight w:val="none"/>
        </w:rPr>
        <w:t>的专利技术外，所有有关本工程的照片、录像、图纸、技术资料的所有权及涉及的知识产权均为发包人所有，</w:t>
      </w:r>
      <w:r>
        <w:rPr>
          <w:rFonts w:hint="eastAsia"/>
          <w:highlight w:val="none"/>
        </w:rPr>
        <w:t>分包人</w:t>
      </w:r>
      <w:r>
        <w:rPr>
          <w:highlight w:val="none"/>
        </w:rPr>
        <w:t>可以为实现合同目的而复制、使用此类文件，但不能用于与合同无关的其他事项。未经发包人同意，</w:t>
      </w:r>
      <w:r>
        <w:rPr>
          <w:rFonts w:hint="eastAsia"/>
          <w:highlight w:val="none"/>
        </w:rPr>
        <w:t>分包人</w:t>
      </w:r>
      <w:r>
        <w:rPr>
          <w:highlight w:val="none"/>
        </w:rPr>
        <w:t>不得用于广告、宣传等本合同目的以外的任何其他目的。</w:t>
      </w:r>
    </w:p>
    <w:p w14:paraId="1196C96F">
      <w:pPr>
        <w:ind w:firstLine="420"/>
        <w:rPr>
          <w:highlight w:val="none"/>
        </w:rPr>
      </w:pPr>
      <w:r>
        <w:rPr>
          <w:highlight w:val="none"/>
        </w:rPr>
        <w:t>13.4本条约定在本合同终止后仍然继续有效，且不受合同解除，终止或无效的影响。</w:t>
      </w:r>
    </w:p>
    <w:p w14:paraId="60BA5A0D">
      <w:pPr>
        <w:pStyle w:val="2"/>
        <w:spacing w:before="156"/>
        <w:rPr>
          <w:highlight w:val="none"/>
        </w:rPr>
      </w:pPr>
      <w:bookmarkStart w:id="33" w:name="_Toc9891"/>
      <w:r>
        <w:rPr>
          <w:highlight w:val="none"/>
        </w:rPr>
        <w:t>14.保密义务</w:t>
      </w:r>
      <w:bookmarkEnd w:id="33"/>
    </w:p>
    <w:p w14:paraId="681D7D70">
      <w:pPr>
        <w:ind w:firstLine="420"/>
        <w:rPr>
          <w:highlight w:val="none"/>
        </w:rPr>
      </w:pPr>
      <w:r>
        <w:rPr>
          <w:highlight w:val="none"/>
        </w:rPr>
        <w:t>14.1</w:t>
      </w:r>
      <w:r>
        <w:rPr>
          <w:rFonts w:hint="eastAsia"/>
          <w:highlight w:val="none"/>
        </w:rPr>
        <w:t>分包人</w:t>
      </w:r>
      <w:r>
        <w:rPr>
          <w:highlight w:val="none"/>
        </w:rPr>
        <w:t>及其项目参加人员应对在合同履行过程中了解到的涉及到发包人技术信息、经验信息、商业秘密以及其他尚未公开的有关信息、资料负有保密义务，并采取相应的保密措施。</w:t>
      </w:r>
      <w:r>
        <w:rPr>
          <w:rFonts w:hint="eastAsia"/>
          <w:highlight w:val="none"/>
        </w:rPr>
        <w:t>分包人</w:t>
      </w:r>
      <w:r>
        <w:rPr>
          <w:highlight w:val="none"/>
        </w:rPr>
        <w:t>应承担的保密义务包括但不限于:</w:t>
      </w:r>
    </w:p>
    <w:p w14:paraId="4E620DEC">
      <w:pPr>
        <w:ind w:firstLine="420"/>
        <w:rPr>
          <w:highlight w:val="none"/>
        </w:rPr>
      </w:pPr>
      <w:r>
        <w:rPr>
          <w:highlight w:val="none"/>
        </w:rPr>
        <w:t>14.1.1未经发包人书面同意，不得将上述信息、资料披露给任何第三人;</w:t>
      </w:r>
    </w:p>
    <w:p w14:paraId="22BD0794">
      <w:pPr>
        <w:bidi w:val="0"/>
        <w:rPr>
          <w:highlight w:val="none"/>
        </w:rPr>
      </w:pPr>
      <w:bookmarkStart w:id="34" w:name="_Toc12111"/>
      <w:r>
        <w:rPr>
          <w:highlight w:val="none"/>
        </w:rPr>
        <w:t>14.1.2不得将上述信息、资料用于本合同以外的其他目的;</w:t>
      </w:r>
      <w:bookmarkEnd w:id="34"/>
    </w:p>
    <w:p w14:paraId="48D8815F">
      <w:pPr>
        <w:ind w:firstLine="420"/>
        <w:rPr>
          <w:highlight w:val="none"/>
        </w:rPr>
      </w:pPr>
      <w:r>
        <w:rPr>
          <w:highlight w:val="none"/>
        </w:rPr>
        <w:t>14.1.3在本合同终止或解除后或按发包人要求，及时将上述信息资料返还发包人或按发包人要求作适当处理。</w:t>
      </w:r>
    </w:p>
    <w:p w14:paraId="34E7F3BA">
      <w:pPr>
        <w:ind w:firstLine="420"/>
        <w:rPr>
          <w:highlight w:val="none"/>
        </w:rPr>
      </w:pPr>
      <w:r>
        <w:rPr>
          <w:highlight w:val="none"/>
        </w:rPr>
        <w:t>14.2本合同项下的保密义务至相关商业秘密信息、资料正式向社会公开之日或发包人书面解除</w:t>
      </w:r>
      <w:r>
        <w:rPr>
          <w:rFonts w:hint="eastAsia"/>
          <w:highlight w:val="none"/>
        </w:rPr>
        <w:t>分包人</w:t>
      </w:r>
      <w:r>
        <w:rPr>
          <w:highlight w:val="none"/>
        </w:rPr>
        <w:t>本合同项下保密义务之日起</w:t>
      </w:r>
      <w:r>
        <w:rPr>
          <w:rFonts w:hint="eastAsia"/>
          <w:highlight w:val="none"/>
          <w:lang w:eastAsia="zh-CN"/>
        </w:rPr>
        <w:t>终止</w:t>
      </w:r>
      <w:r>
        <w:rPr>
          <w:rFonts w:hint="eastAsia"/>
          <w:highlight w:val="none"/>
        </w:rPr>
        <w:t>。</w:t>
      </w:r>
    </w:p>
    <w:p w14:paraId="417DF4B9">
      <w:pPr>
        <w:ind w:firstLine="420"/>
        <w:rPr>
          <w:highlight w:val="none"/>
        </w:rPr>
      </w:pPr>
      <w:r>
        <w:rPr>
          <w:highlight w:val="none"/>
        </w:rPr>
        <w:t>14.3本条约定在本合同终止后仍然继续有效，且不受合同解除终止或无效的影响。</w:t>
      </w:r>
    </w:p>
    <w:p w14:paraId="182221FE">
      <w:pPr>
        <w:pStyle w:val="2"/>
        <w:spacing w:before="156"/>
        <w:rPr>
          <w:highlight w:val="none"/>
        </w:rPr>
      </w:pPr>
      <w:bookmarkStart w:id="35" w:name="_Toc31907"/>
      <w:r>
        <w:rPr>
          <w:highlight w:val="none"/>
        </w:rPr>
        <w:t>15.合同解除</w:t>
      </w:r>
      <w:bookmarkEnd w:id="35"/>
    </w:p>
    <w:p w14:paraId="707EDD5F">
      <w:pPr>
        <w:ind w:firstLine="420"/>
        <w:rPr>
          <w:highlight w:val="none"/>
        </w:rPr>
      </w:pPr>
      <w:r>
        <w:rPr>
          <w:highlight w:val="none"/>
        </w:rPr>
        <w:t>15.1除本合同已有约定外,任何一方都不得擅自变更或解除本</w:t>
      </w:r>
      <w:r>
        <w:rPr>
          <w:rFonts w:hint="eastAsia"/>
          <w:highlight w:val="none"/>
        </w:rPr>
        <w:t>合同。</w:t>
      </w:r>
      <w:r>
        <w:rPr>
          <w:highlight w:val="none"/>
        </w:rPr>
        <w:t>如确需变更或解除本合同，应经双方另行协商，并达成书面协议。</w:t>
      </w:r>
    </w:p>
    <w:p w14:paraId="4DFF6605">
      <w:pPr>
        <w:ind w:firstLine="420"/>
        <w:rPr>
          <w:highlight w:val="none"/>
        </w:rPr>
      </w:pPr>
      <w:r>
        <w:rPr>
          <w:highlight w:val="none"/>
        </w:rPr>
        <w:t>15.2在合同履行过程中，发生以下情形之一的，发包人有权解除合同:</w:t>
      </w:r>
    </w:p>
    <w:p w14:paraId="59F9A5DB">
      <w:pPr>
        <w:ind w:firstLine="420"/>
        <w:rPr>
          <w:highlight w:val="none"/>
        </w:rPr>
      </w:pPr>
      <w:r>
        <w:rPr>
          <w:highlight w:val="none"/>
        </w:rPr>
        <w:t>15.2.1</w:t>
      </w:r>
      <w:r>
        <w:rPr>
          <w:rFonts w:hint="eastAsia"/>
          <w:highlight w:val="none"/>
        </w:rPr>
        <w:t>分包人发生破产、解散、关闭等已不能实际履行合同义务</w:t>
      </w:r>
      <w:r>
        <w:rPr>
          <w:highlight w:val="none"/>
        </w:rPr>
        <w:t>;</w:t>
      </w:r>
    </w:p>
    <w:p w14:paraId="595CACCE">
      <w:pPr>
        <w:ind w:firstLine="420"/>
        <w:rPr>
          <w:highlight w:val="none"/>
        </w:rPr>
      </w:pPr>
      <w:r>
        <w:rPr>
          <w:rFonts w:hint="eastAsia"/>
          <w:highlight w:val="none"/>
        </w:rPr>
        <w:t>15.2.2分包方明确表示或者以其行为表明不履行合同主要义务的；</w:t>
      </w:r>
    </w:p>
    <w:p w14:paraId="535E4A67">
      <w:pPr>
        <w:ind w:firstLine="420"/>
        <w:rPr>
          <w:highlight w:val="none"/>
        </w:rPr>
      </w:pPr>
      <w:r>
        <w:rPr>
          <w:highlight w:val="none"/>
        </w:rPr>
        <w:t>15.2.</w:t>
      </w:r>
      <w:r>
        <w:rPr>
          <w:rFonts w:hint="eastAsia"/>
          <w:highlight w:val="none"/>
        </w:rPr>
        <w:t>3分包方</w:t>
      </w:r>
      <w:r>
        <w:rPr>
          <w:highlight w:val="none"/>
        </w:rPr>
        <w:t>拒绝执行发包人要求其修补缺陷或更换不</w:t>
      </w:r>
      <w:r>
        <w:rPr>
          <w:rFonts w:hint="eastAsia"/>
          <w:highlight w:val="none"/>
        </w:rPr>
        <w:t>合格</w:t>
      </w:r>
      <w:r>
        <w:rPr>
          <w:highlight w:val="none"/>
        </w:rPr>
        <w:t>的材料等书面通知;</w:t>
      </w:r>
    </w:p>
    <w:p w14:paraId="63593D03">
      <w:pPr>
        <w:bidi w:val="0"/>
        <w:rPr>
          <w:highlight w:val="none"/>
        </w:rPr>
      </w:pPr>
      <w:bookmarkStart w:id="36" w:name="_Toc13329"/>
      <w:r>
        <w:rPr>
          <w:highlight w:val="none"/>
        </w:rPr>
        <w:t>15.2.</w:t>
      </w:r>
      <w:r>
        <w:rPr>
          <w:rFonts w:hint="eastAsia"/>
          <w:highlight w:val="none"/>
        </w:rPr>
        <w:t>4</w:t>
      </w:r>
      <w:r>
        <w:rPr>
          <w:highlight w:val="none"/>
        </w:rPr>
        <w:t>分包人将其承包的工程转包或再分包;</w:t>
      </w:r>
      <w:bookmarkEnd w:id="36"/>
    </w:p>
    <w:p w14:paraId="718695FF">
      <w:pPr>
        <w:ind w:firstLine="420"/>
        <w:rPr>
          <w:highlight w:val="none"/>
        </w:rPr>
      </w:pPr>
      <w:r>
        <w:rPr>
          <w:highlight w:val="none"/>
        </w:rPr>
        <w:t>15.2.</w:t>
      </w:r>
      <w:r>
        <w:rPr>
          <w:rFonts w:hint="eastAsia"/>
          <w:highlight w:val="none"/>
        </w:rPr>
        <w:t>5</w:t>
      </w:r>
      <w:r>
        <w:rPr>
          <w:highlight w:val="none"/>
        </w:rPr>
        <w:t>因分包人原因工程质量达不到本合同约定的质量标准和质量目标</w:t>
      </w:r>
      <w:r>
        <w:rPr>
          <w:rFonts w:hint="eastAsia"/>
          <w:highlight w:val="none"/>
        </w:rPr>
        <w:t>。</w:t>
      </w:r>
    </w:p>
    <w:p w14:paraId="533545C8">
      <w:pPr>
        <w:ind w:firstLine="420"/>
        <w:contextualSpacing/>
        <w:rPr>
          <w:highlight w:val="none"/>
        </w:rPr>
      </w:pPr>
      <w:r>
        <w:rPr>
          <w:rFonts w:hint="eastAsia"/>
          <w:highlight w:val="none"/>
        </w:rPr>
        <w:t>15.2.6因分包人原因拖延工期，未能在约定的工期内或分段工期内完成工程或其中任何区段的工作；</w:t>
      </w:r>
    </w:p>
    <w:p w14:paraId="3DC2E418">
      <w:pPr>
        <w:ind w:firstLine="420"/>
        <w:rPr>
          <w:highlight w:val="none"/>
        </w:rPr>
      </w:pPr>
      <w:r>
        <w:rPr>
          <w:rFonts w:hint="eastAsia"/>
          <w:highlight w:val="none"/>
        </w:rPr>
        <w:t>15.2.7因不可抗力发生导致合同无法继续履行；</w:t>
      </w:r>
    </w:p>
    <w:p w14:paraId="78B54FC5">
      <w:pPr>
        <w:ind w:firstLine="420"/>
        <w:rPr>
          <w:highlight w:val="none"/>
        </w:rPr>
      </w:pPr>
      <w:r>
        <w:rPr>
          <w:rFonts w:hint="eastAsia"/>
          <w:highlight w:val="none"/>
        </w:rPr>
        <w:t>15</w:t>
      </w:r>
      <w:r>
        <w:rPr>
          <w:highlight w:val="none"/>
        </w:rPr>
        <w:t>.</w:t>
      </w:r>
      <w:r>
        <w:rPr>
          <w:rFonts w:hint="eastAsia"/>
          <w:highlight w:val="none"/>
        </w:rPr>
        <w:t>3</w:t>
      </w:r>
      <w:r>
        <w:rPr>
          <w:highlight w:val="none"/>
        </w:rPr>
        <w:t>分包合同解除后各自的权利和责任</w:t>
      </w:r>
    </w:p>
    <w:p w14:paraId="5EC23DB6">
      <w:pPr>
        <w:ind w:firstLine="420"/>
        <w:rPr>
          <w:highlight w:val="none"/>
        </w:rPr>
      </w:pPr>
      <w:r>
        <w:rPr>
          <w:highlight w:val="none"/>
        </w:rPr>
        <w:t>如因本合同第</w:t>
      </w:r>
      <w:r>
        <w:rPr>
          <w:rFonts w:hint="eastAsia"/>
          <w:highlight w:val="none"/>
        </w:rPr>
        <w:t>15.2.1</w:t>
      </w:r>
      <w:r>
        <w:rPr>
          <w:rFonts w:hint="eastAsia" w:asciiTheme="majorEastAsia" w:hAnsiTheme="majorEastAsia" w:eastAsiaTheme="majorEastAsia" w:cstheme="majorEastAsia"/>
          <w:highlight w:val="none"/>
        </w:rPr>
        <w:t>~</w:t>
      </w:r>
      <w:r>
        <w:rPr>
          <w:rFonts w:hint="eastAsia"/>
          <w:highlight w:val="none"/>
        </w:rPr>
        <w:t>15.2.6</w:t>
      </w:r>
      <w:r>
        <w:rPr>
          <w:highlight w:val="none"/>
        </w:rPr>
        <w:t>条款规定的解除情形发生，且只要这种合同关系未被恢复和继续，发包人和分包人应具有以下权利和责任：</w:t>
      </w:r>
    </w:p>
    <w:p w14:paraId="5CC666C7">
      <w:pPr>
        <w:ind w:firstLine="420"/>
        <w:rPr>
          <w:highlight w:val="none"/>
        </w:rPr>
      </w:pPr>
      <w:r>
        <w:rPr>
          <w:highlight w:val="none"/>
        </w:rPr>
        <w:t>(1)发包人可雇佣其它分包人进行并完成分包工程；</w:t>
      </w:r>
    </w:p>
    <w:p w14:paraId="4261BD34">
      <w:pPr>
        <w:ind w:firstLine="420"/>
        <w:rPr>
          <w:highlight w:val="none"/>
        </w:rPr>
      </w:pPr>
      <w:r>
        <w:rPr>
          <w:highlight w:val="none"/>
        </w:rPr>
        <w:t>(</w:t>
      </w:r>
      <w:r>
        <w:rPr>
          <w:rFonts w:hint="eastAsia"/>
          <w:highlight w:val="none"/>
        </w:rPr>
        <w:t>2</w:t>
      </w:r>
      <w:r>
        <w:rPr>
          <w:highlight w:val="none"/>
        </w:rPr>
        <w:t>)分包人应妥善做好已完工程和已购材料、设备、建筑施工图纸和全部相关资料的保护和移交工作；</w:t>
      </w:r>
    </w:p>
    <w:p w14:paraId="3AA456B9">
      <w:pPr>
        <w:ind w:firstLine="420"/>
        <w:rPr>
          <w:highlight w:val="none"/>
        </w:rPr>
      </w:pPr>
      <w:r>
        <w:rPr>
          <w:highlight w:val="none"/>
        </w:rPr>
        <w:t>(</w:t>
      </w:r>
      <w:r>
        <w:rPr>
          <w:rFonts w:hint="eastAsia"/>
          <w:highlight w:val="none"/>
        </w:rPr>
        <w:t>3</w:t>
      </w:r>
      <w:r>
        <w:rPr>
          <w:highlight w:val="none"/>
        </w:rPr>
        <w:t>)发包人以书面形式通知分包人须从现场拆除或撤出属于分包人的或由其租赁的任何临时工程、机具设备、材料和货物时，分包人应按照要求无条件执行</w:t>
      </w:r>
      <w:r>
        <w:rPr>
          <w:rFonts w:hint="eastAsia"/>
          <w:highlight w:val="none"/>
        </w:rPr>
        <w:t>；</w:t>
      </w:r>
    </w:p>
    <w:p w14:paraId="4D9FC116">
      <w:pPr>
        <w:ind w:firstLine="420"/>
        <w:rPr>
          <w:highlight w:val="none"/>
        </w:rPr>
      </w:pPr>
      <w:r>
        <w:rPr>
          <w:highlight w:val="none"/>
        </w:rPr>
        <w:t>(</w:t>
      </w:r>
      <w:r>
        <w:rPr>
          <w:rFonts w:hint="eastAsia"/>
          <w:highlight w:val="none"/>
        </w:rPr>
        <w:t>4</w:t>
      </w:r>
      <w:r>
        <w:rPr>
          <w:highlight w:val="none"/>
        </w:rPr>
        <w:t>)分包人应就分包合同解除对发包人遭受的直接损失、间接损失及可得利益损失等全部损失，予以足额赔偿。</w:t>
      </w:r>
    </w:p>
    <w:p w14:paraId="04BF4695">
      <w:pPr>
        <w:pStyle w:val="2"/>
        <w:spacing w:before="156"/>
        <w:rPr>
          <w:highlight w:val="none"/>
        </w:rPr>
      </w:pPr>
      <w:bookmarkStart w:id="37" w:name="_Toc28467"/>
      <w:r>
        <w:rPr>
          <w:highlight w:val="none"/>
        </w:rPr>
        <w:t>16.违约责任</w:t>
      </w:r>
      <w:bookmarkEnd w:id="37"/>
    </w:p>
    <w:p w14:paraId="7383AB15">
      <w:pPr>
        <w:ind w:firstLine="420"/>
        <w:rPr>
          <w:highlight w:val="none"/>
        </w:rPr>
      </w:pPr>
      <w:r>
        <w:rPr>
          <w:highlight w:val="none"/>
        </w:rPr>
        <w:t>16.</w:t>
      </w:r>
      <w:r>
        <w:rPr>
          <w:rFonts w:hint="eastAsia"/>
          <w:highlight w:val="none"/>
        </w:rPr>
        <w:t>1</w:t>
      </w:r>
      <w:r>
        <w:rPr>
          <w:highlight w:val="none"/>
        </w:rPr>
        <w:t>严禁分包方</w:t>
      </w:r>
      <w:r>
        <w:rPr>
          <w:rFonts w:hint="eastAsia"/>
          <w:highlight w:val="none"/>
          <w:lang w:val="en-US" w:eastAsia="zh-CN"/>
        </w:rPr>
        <w:t>将其承包</w:t>
      </w:r>
      <w:r>
        <w:rPr>
          <w:highlight w:val="none"/>
        </w:rPr>
        <w:t>的工程转包或再次分包。若发现分包方存在转包、再分包行为，</w:t>
      </w:r>
      <w:r>
        <w:rPr>
          <w:rFonts w:hint="eastAsia"/>
          <w:highlight w:val="none"/>
          <w:lang w:val="en-US" w:eastAsia="zh-CN"/>
        </w:rPr>
        <w:t>发包方</w:t>
      </w:r>
      <w:r>
        <w:rPr>
          <w:highlight w:val="none"/>
        </w:rPr>
        <w:t>有权单方面立即解除本合同，收回已支付的工程款，且不再支付剩余工程款。同时，分包方需按合同总价的</w:t>
      </w:r>
      <w:r>
        <w:rPr>
          <w:rFonts w:hint="eastAsia"/>
          <w:highlight w:val="none"/>
          <w:lang w:val="en-US" w:eastAsia="zh-CN"/>
        </w:rPr>
        <w:t>15</w:t>
      </w:r>
      <w:r>
        <w:rPr>
          <w:highlight w:val="none"/>
        </w:rPr>
        <w:t>%向发包方支付违约金</w:t>
      </w:r>
      <w:r>
        <w:rPr>
          <w:rFonts w:hint="eastAsia"/>
          <w:highlight w:val="none"/>
        </w:rPr>
        <w:t>。</w:t>
      </w:r>
    </w:p>
    <w:p w14:paraId="7AFA7457">
      <w:pPr>
        <w:ind w:firstLine="420"/>
        <w:rPr>
          <w:highlight w:val="none"/>
        </w:rPr>
      </w:pPr>
      <w:r>
        <w:rPr>
          <w:highlight w:val="none"/>
        </w:rPr>
        <w:t>16.</w:t>
      </w:r>
      <w:r>
        <w:rPr>
          <w:rFonts w:hint="eastAsia"/>
          <w:highlight w:val="none"/>
        </w:rPr>
        <w:t>2分包方应严格按照发包方要求进行安全文明施工，安全文明施工不合格且不按照发包方要求及时改进的，每出现此类情形一次，分包人应向发包人支付0.</w:t>
      </w:r>
      <w:r>
        <w:rPr>
          <w:rFonts w:hint="eastAsia"/>
          <w:highlight w:val="none"/>
          <w:lang w:val="en-US" w:eastAsia="zh-CN"/>
        </w:rPr>
        <w:t>2</w:t>
      </w:r>
      <w:r>
        <w:rPr>
          <w:rFonts w:hint="eastAsia"/>
          <w:highlight w:val="none"/>
        </w:rPr>
        <w:t>万元／每次的违约金。</w:t>
      </w:r>
    </w:p>
    <w:p w14:paraId="769261A6">
      <w:pPr>
        <w:ind w:firstLine="420"/>
        <w:rPr>
          <w:highlight w:val="none"/>
        </w:rPr>
      </w:pPr>
      <w:r>
        <w:rPr>
          <w:highlight w:val="none"/>
        </w:rPr>
        <w:t>16.</w:t>
      </w:r>
      <w:r>
        <w:rPr>
          <w:rFonts w:hint="eastAsia"/>
          <w:highlight w:val="none"/>
        </w:rPr>
        <w:t>3分</w:t>
      </w:r>
      <w:r>
        <w:rPr>
          <w:highlight w:val="none"/>
        </w:rPr>
        <w:t>包方因自身原因逾期完工，未按本合同约定工期节点施工，每延误一天，</w:t>
      </w:r>
      <w:r>
        <w:rPr>
          <w:rFonts w:hint="eastAsia"/>
          <w:highlight w:val="none"/>
        </w:rPr>
        <w:t>分</w:t>
      </w:r>
      <w:r>
        <w:rPr>
          <w:highlight w:val="none"/>
        </w:rPr>
        <w:t>包方按</w:t>
      </w:r>
      <w:r>
        <w:rPr>
          <w:rFonts w:hint="eastAsia"/>
          <w:highlight w:val="none"/>
        </w:rPr>
        <w:t>0.8万元</w:t>
      </w:r>
      <w:r>
        <w:rPr>
          <w:highlight w:val="none"/>
        </w:rPr>
        <w:t>/天向发包方支付逾期违约金，延期超过</w:t>
      </w:r>
      <w:r>
        <w:rPr>
          <w:rFonts w:hint="eastAsia"/>
          <w:highlight w:val="none"/>
        </w:rPr>
        <w:t>七</w:t>
      </w:r>
      <w:r>
        <w:rPr>
          <w:highlight w:val="none"/>
        </w:rPr>
        <w:t>天的</w:t>
      </w:r>
      <w:r>
        <w:rPr>
          <w:rFonts w:hint="eastAsia"/>
          <w:highlight w:val="none"/>
        </w:rPr>
        <w:t>(</w:t>
      </w:r>
      <w:r>
        <w:rPr>
          <w:highlight w:val="none"/>
        </w:rPr>
        <w:t>因不可抗力、政府下令停工、极端天气、新冠疫情等原因造成的延期除外</w:t>
      </w:r>
      <w:r>
        <w:rPr>
          <w:rFonts w:hint="eastAsia"/>
          <w:highlight w:val="none"/>
        </w:rPr>
        <w:t>)</w:t>
      </w:r>
      <w:r>
        <w:rPr>
          <w:highlight w:val="none"/>
        </w:rPr>
        <w:t>，发包人有权要求</w:t>
      </w:r>
      <w:r>
        <w:rPr>
          <w:rFonts w:hint="eastAsia"/>
          <w:highlight w:val="none"/>
          <w:lang w:eastAsia="zh-CN"/>
        </w:rPr>
        <w:t>分包方</w:t>
      </w:r>
      <w:r>
        <w:rPr>
          <w:highlight w:val="none"/>
        </w:rPr>
        <w:t>承担工期延误导致的合同总价</w:t>
      </w:r>
      <w:r>
        <w:rPr>
          <w:rFonts w:hint="eastAsia"/>
          <w:highlight w:val="none"/>
          <w:lang w:val="en-US" w:eastAsia="zh-CN"/>
        </w:rPr>
        <w:t>5</w:t>
      </w:r>
      <w:r>
        <w:rPr>
          <w:highlight w:val="none"/>
        </w:rPr>
        <w:t>%的违约金</w:t>
      </w:r>
      <w:r>
        <w:rPr>
          <w:rFonts w:hint="eastAsia"/>
          <w:highlight w:val="none"/>
        </w:rPr>
        <w:t>及</w:t>
      </w:r>
      <w:r>
        <w:rPr>
          <w:highlight w:val="none"/>
        </w:rPr>
        <w:t>由</w:t>
      </w:r>
      <w:r>
        <w:rPr>
          <w:rFonts w:hint="eastAsia"/>
          <w:highlight w:val="none"/>
        </w:rPr>
        <w:t>此</w:t>
      </w:r>
      <w:r>
        <w:rPr>
          <w:highlight w:val="none"/>
        </w:rPr>
        <w:t>造成的</w:t>
      </w:r>
      <w:r>
        <w:rPr>
          <w:rFonts w:hint="eastAsia"/>
          <w:highlight w:val="none"/>
        </w:rPr>
        <w:t>其他</w:t>
      </w:r>
      <w:r>
        <w:rPr>
          <w:highlight w:val="none"/>
        </w:rPr>
        <w:t>损失。</w:t>
      </w:r>
    </w:p>
    <w:p w14:paraId="3C27CE30">
      <w:pPr>
        <w:ind w:firstLine="420"/>
        <w:rPr>
          <w:highlight w:val="none"/>
        </w:rPr>
      </w:pPr>
      <w:r>
        <w:rPr>
          <w:highlight w:val="none"/>
        </w:rPr>
        <w:t>16.</w:t>
      </w:r>
      <w:r>
        <w:rPr>
          <w:rFonts w:hint="eastAsia"/>
          <w:highlight w:val="none"/>
        </w:rPr>
        <w:t>4因分包人原因导致工程质量不符合本合同约定标准和要求的，分包人应自负费用按发包人要求的期限进行整改直至符合本合同约定标准和要求为止，因此给发包人造成损失的，分包人应予赔偿。如果在发包人要求的整改期限内，分包人拒绝整改或经整改仍不能达到标准规范和合同约定要求，发包人有权取消分包人在本合同项下的部分或全部工作并交由第三方完成，直至解除本合同，分包人应向发包人支付对应工作的相关费用以及对应费用</w:t>
      </w:r>
      <w:r>
        <w:rPr>
          <w:rFonts w:hint="eastAsia"/>
          <w:highlight w:val="none"/>
          <w:lang w:val="en-US" w:eastAsia="zh-CN"/>
        </w:rPr>
        <w:t>15</w:t>
      </w:r>
      <w:r>
        <w:rPr>
          <w:rFonts w:hint="eastAsia"/>
          <w:highlight w:val="none"/>
        </w:rPr>
        <w:t>%的违约金，且还</w:t>
      </w:r>
      <w:r>
        <w:rPr>
          <w:rFonts w:hint="eastAsia"/>
          <w:highlight w:val="none"/>
          <w:lang w:val="en-US" w:eastAsia="zh-CN"/>
        </w:rPr>
        <w:t>应</w:t>
      </w:r>
      <w:r>
        <w:rPr>
          <w:rFonts w:hint="eastAsia"/>
          <w:highlight w:val="none"/>
        </w:rPr>
        <w:t>承担给发包方造成的</w:t>
      </w:r>
      <w:r>
        <w:rPr>
          <w:rFonts w:hint="eastAsia"/>
          <w:highlight w:val="none"/>
          <w:lang w:eastAsia="zh-CN"/>
        </w:rPr>
        <w:t>全部损失</w:t>
      </w:r>
      <w:r>
        <w:rPr>
          <w:rFonts w:hint="eastAsia"/>
          <w:highlight w:val="none"/>
        </w:rPr>
        <w:t>。</w:t>
      </w:r>
    </w:p>
    <w:p w14:paraId="1B52FEC9">
      <w:pPr>
        <w:ind w:firstLine="420"/>
        <w:rPr>
          <w:highlight w:val="none"/>
        </w:rPr>
      </w:pPr>
      <w:r>
        <w:rPr>
          <w:rFonts w:hint="eastAsia"/>
          <w:highlight w:val="none"/>
        </w:rPr>
        <w:t>16.5分</w:t>
      </w:r>
      <w:r>
        <w:rPr>
          <w:highlight w:val="none"/>
        </w:rPr>
        <w:t>包方必须确保劳务人员工资及材料款</w:t>
      </w:r>
      <w:r>
        <w:rPr>
          <w:rFonts w:hint="eastAsia"/>
          <w:highlight w:val="none"/>
        </w:rPr>
        <w:t>的</w:t>
      </w:r>
      <w:r>
        <w:rPr>
          <w:highlight w:val="none"/>
        </w:rPr>
        <w:t>支付，</w:t>
      </w:r>
      <w:r>
        <w:rPr>
          <w:rFonts w:hint="eastAsia"/>
          <w:highlight w:val="none"/>
        </w:rPr>
        <w:t>保证</w:t>
      </w:r>
      <w:r>
        <w:rPr>
          <w:highlight w:val="none"/>
        </w:rPr>
        <w:t>不出现农民工、管理人员、材料供应商索款、闹事事件，否则发包方有权按参与事件的人数，</w:t>
      </w:r>
      <w:r>
        <w:rPr>
          <w:rFonts w:hint="eastAsia"/>
          <w:highlight w:val="none"/>
        </w:rPr>
        <w:t>要求分包人承担0.2万元/人/次的违约金(</w:t>
      </w:r>
      <w:r>
        <w:rPr>
          <w:highlight w:val="none"/>
        </w:rPr>
        <w:t>包括但不限于行政部门对发包方的罚款、</w:t>
      </w:r>
      <w:r>
        <w:rPr>
          <w:rFonts w:hint="eastAsia"/>
          <w:highlight w:val="none"/>
        </w:rPr>
        <w:t>分</w:t>
      </w:r>
      <w:r>
        <w:rPr>
          <w:highlight w:val="none"/>
        </w:rPr>
        <w:t>包方工人闹事对发包方产生的影响等</w:t>
      </w:r>
      <w:r>
        <w:rPr>
          <w:rFonts w:hint="eastAsia"/>
          <w:highlight w:val="none"/>
        </w:rPr>
        <w:t>)</w:t>
      </w:r>
      <w:r>
        <w:rPr>
          <w:rFonts w:hint="eastAsia"/>
          <w:highlight w:val="none"/>
          <w:lang w:eastAsia="zh-CN"/>
        </w:rPr>
        <w:t>，</w:t>
      </w:r>
      <w:r>
        <w:rPr>
          <w:rFonts w:hint="eastAsia"/>
          <w:highlight w:val="none"/>
        </w:rPr>
        <w:t>且还</w:t>
      </w:r>
      <w:r>
        <w:rPr>
          <w:rFonts w:hint="eastAsia"/>
          <w:highlight w:val="none"/>
          <w:lang w:val="en-US" w:eastAsia="zh-CN"/>
        </w:rPr>
        <w:t>应</w:t>
      </w:r>
      <w:r>
        <w:rPr>
          <w:rFonts w:hint="eastAsia"/>
          <w:highlight w:val="none"/>
        </w:rPr>
        <w:t>承担给发包方造成的</w:t>
      </w:r>
      <w:r>
        <w:rPr>
          <w:rFonts w:hint="eastAsia"/>
          <w:highlight w:val="none"/>
          <w:lang w:eastAsia="zh-CN"/>
        </w:rPr>
        <w:t>全部损失</w:t>
      </w:r>
      <w:r>
        <w:rPr>
          <w:rFonts w:hint="eastAsia"/>
          <w:highlight w:val="none"/>
        </w:rPr>
        <w:t>。</w:t>
      </w:r>
      <w:r>
        <w:rPr>
          <w:highlight w:val="none"/>
        </w:rPr>
        <w:t>同时发包方有权单方解除合同并不予支付剩余工程款并有权要求</w:t>
      </w:r>
      <w:r>
        <w:rPr>
          <w:rFonts w:hint="eastAsia"/>
          <w:highlight w:val="none"/>
          <w:lang w:eastAsia="zh-CN"/>
        </w:rPr>
        <w:t>分包人</w:t>
      </w:r>
      <w:r>
        <w:rPr>
          <w:highlight w:val="none"/>
        </w:rPr>
        <w:t>支付合同总价</w:t>
      </w:r>
      <w:r>
        <w:rPr>
          <w:rFonts w:hint="eastAsia"/>
          <w:highlight w:val="none"/>
          <w:lang w:val="en-US" w:eastAsia="zh-CN"/>
        </w:rPr>
        <w:t>5</w:t>
      </w:r>
      <w:r>
        <w:rPr>
          <w:highlight w:val="none"/>
        </w:rPr>
        <w:t>%的违约金。如发包方不得已代为垫付任何款项，承包方明确发包方均可直接从应支付给承包方的款项中直接扣除</w:t>
      </w:r>
      <w:r>
        <w:rPr>
          <w:rFonts w:hint="eastAsia"/>
          <w:highlight w:val="none"/>
          <w:lang w:eastAsia="zh-CN"/>
        </w:rPr>
        <w:t>，</w:t>
      </w:r>
      <w:r>
        <w:rPr>
          <w:rFonts w:hint="eastAsia"/>
          <w:highlight w:val="none"/>
        </w:rPr>
        <w:t>一旦扣除，该行为即视为发包方已向分包方完成对应金额的款项支付。</w:t>
      </w:r>
    </w:p>
    <w:p w14:paraId="52BDB1C5">
      <w:pPr>
        <w:ind w:firstLine="420"/>
        <w:rPr>
          <w:rFonts w:hint="eastAsia"/>
          <w:highlight w:val="none"/>
        </w:rPr>
      </w:pPr>
      <w:r>
        <w:rPr>
          <w:highlight w:val="none"/>
        </w:rPr>
        <w:t>16.</w:t>
      </w:r>
      <w:r>
        <w:rPr>
          <w:rFonts w:hint="eastAsia"/>
          <w:highlight w:val="none"/>
        </w:rPr>
        <w:t>6</w:t>
      </w:r>
      <w:r>
        <w:rPr>
          <w:highlight w:val="none"/>
        </w:rPr>
        <w:t>未经发包方同意，</w:t>
      </w:r>
      <w:r>
        <w:rPr>
          <w:rFonts w:hint="eastAsia"/>
          <w:highlight w:val="none"/>
        </w:rPr>
        <w:t>分</w:t>
      </w:r>
      <w:r>
        <w:rPr>
          <w:highlight w:val="none"/>
        </w:rPr>
        <w:t>包方擅自中止施工的，则</w:t>
      </w:r>
      <w:r>
        <w:rPr>
          <w:rFonts w:hint="eastAsia"/>
          <w:highlight w:val="none"/>
        </w:rPr>
        <w:t>分</w:t>
      </w:r>
      <w:r>
        <w:rPr>
          <w:highlight w:val="none"/>
        </w:rPr>
        <w:t>包方每中止一日，应向发包方支付违约金人民币</w:t>
      </w:r>
      <w:r>
        <w:rPr>
          <w:rFonts w:hint="eastAsia"/>
          <w:highlight w:val="none"/>
          <w:lang w:val="en-US" w:eastAsia="zh-CN"/>
        </w:rPr>
        <w:t>0.2</w:t>
      </w:r>
      <w:r>
        <w:rPr>
          <w:highlight w:val="none"/>
        </w:rPr>
        <w:t>万元，中止施工连续5日或累计10日以上</w:t>
      </w:r>
      <w:r>
        <w:rPr>
          <w:rFonts w:hint="eastAsia"/>
          <w:highlight w:val="none"/>
        </w:rPr>
        <w:t>(</w:t>
      </w:r>
      <w:r>
        <w:rPr>
          <w:highlight w:val="none"/>
        </w:rPr>
        <w:t>含10日</w:t>
      </w:r>
      <w:r>
        <w:rPr>
          <w:rFonts w:hint="eastAsia"/>
          <w:highlight w:val="none"/>
        </w:rPr>
        <w:t>)</w:t>
      </w:r>
      <w:r>
        <w:rPr>
          <w:highlight w:val="none"/>
        </w:rPr>
        <w:t>，发包方有权解除合同</w:t>
      </w:r>
      <w:r>
        <w:rPr>
          <w:rFonts w:hint="eastAsia"/>
          <w:highlight w:val="none"/>
          <w:lang w:eastAsia="zh-CN"/>
        </w:rPr>
        <w:t>，</w:t>
      </w:r>
      <w:r>
        <w:rPr>
          <w:rFonts w:hint="eastAsia"/>
          <w:highlight w:val="none"/>
        </w:rPr>
        <w:t>收回已支付的工程款，</w:t>
      </w:r>
      <w:r>
        <w:rPr>
          <w:highlight w:val="none"/>
        </w:rPr>
        <w:t>并不予支付剩余工程款，并有权要求</w:t>
      </w:r>
      <w:r>
        <w:rPr>
          <w:rFonts w:hint="eastAsia"/>
          <w:highlight w:val="none"/>
          <w:lang w:eastAsia="zh-CN"/>
        </w:rPr>
        <w:t>分包人</w:t>
      </w:r>
      <w:r>
        <w:rPr>
          <w:highlight w:val="none"/>
        </w:rPr>
        <w:t>支付合同总价</w:t>
      </w:r>
      <w:r>
        <w:rPr>
          <w:rFonts w:hint="eastAsia"/>
          <w:highlight w:val="none"/>
          <w:lang w:val="en-US" w:eastAsia="zh-CN"/>
        </w:rPr>
        <w:t>15</w:t>
      </w:r>
      <w:r>
        <w:rPr>
          <w:highlight w:val="none"/>
        </w:rPr>
        <w:t>%的违约金</w:t>
      </w:r>
      <w:r>
        <w:rPr>
          <w:rFonts w:hint="eastAsia"/>
          <w:highlight w:val="none"/>
          <w:lang w:eastAsia="zh-CN"/>
        </w:rPr>
        <w:t>，</w:t>
      </w:r>
      <w:r>
        <w:rPr>
          <w:rFonts w:hint="eastAsia"/>
          <w:highlight w:val="none"/>
        </w:rPr>
        <w:t>且还</w:t>
      </w:r>
      <w:r>
        <w:rPr>
          <w:rFonts w:hint="eastAsia"/>
          <w:highlight w:val="none"/>
          <w:lang w:val="en-US" w:eastAsia="zh-CN"/>
        </w:rPr>
        <w:t>应</w:t>
      </w:r>
      <w:r>
        <w:rPr>
          <w:rFonts w:hint="eastAsia"/>
          <w:highlight w:val="none"/>
        </w:rPr>
        <w:t>承担给发包方造成的</w:t>
      </w:r>
      <w:r>
        <w:rPr>
          <w:rFonts w:hint="eastAsia"/>
          <w:highlight w:val="none"/>
          <w:lang w:eastAsia="zh-CN"/>
        </w:rPr>
        <w:t>全部损失</w:t>
      </w:r>
      <w:r>
        <w:rPr>
          <w:rFonts w:hint="eastAsia"/>
          <w:highlight w:val="none"/>
        </w:rPr>
        <w:t>。</w:t>
      </w:r>
    </w:p>
    <w:p w14:paraId="3B4E72BD">
      <w:pPr>
        <w:ind w:firstLine="420"/>
        <w:rPr>
          <w:highlight w:val="none"/>
        </w:rPr>
      </w:pPr>
      <w:r>
        <w:rPr>
          <w:rFonts w:hint="eastAsia"/>
          <w:highlight w:val="none"/>
        </w:rPr>
        <w:t>16.7因分包方原因本合同终止/解除的，分包方将于收到发包方通知后</w:t>
      </w:r>
      <w:r>
        <w:rPr>
          <w:rFonts w:hint="eastAsia"/>
          <w:highlight w:val="none"/>
          <w:lang w:val="en-US" w:eastAsia="zh-CN"/>
        </w:rPr>
        <w:t>3</w:t>
      </w:r>
      <w:r>
        <w:rPr>
          <w:rFonts w:hint="eastAsia"/>
          <w:highlight w:val="none"/>
        </w:rPr>
        <w:t>天内无条件退场并承担相应清场费用，同时承担本合同</w:t>
      </w:r>
      <w:r>
        <w:rPr>
          <w:rFonts w:hint="eastAsia"/>
          <w:highlight w:val="none"/>
          <w:lang w:val="en-US" w:eastAsia="zh-CN"/>
        </w:rPr>
        <w:t>总价15</w:t>
      </w:r>
      <w:r>
        <w:rPr>
          <w:rFonts w:hint="eastAsia"/>
          <w:highlight w:val="none"/>
        </w:rPr>
        <w:t>%的违约金，且还</w:t>
      </w:r>
      <w:r>
        <w:rPr>
          <w:rFonts w:hint="eastAsia"/>
          <w:highlight w:val="none"/>
          <w:lang w:val="en-US" w:eastAsia="zh-CN"/>
        </w:rPr>
        <w:t>应</w:t>
      </w:r>
      <w:r>
        <w:rPr>
          <w:rFonts w:hint="eastAsia"/>
          <w:highlight w:val="none"/>
        </w:rPr>
        <w:t>承担给发包方造成的</w:t>
      </w:r>
      <w:r>
        <w:rPr>
          <w:rFonts w:hint="eastAsia"/>
          <w:highlight w:val="none"/>
          <w:lang w:eastAsia="zh-CN"/>
        </w:rPr>
        <w:t>全部损失</w:t>
      </w:r>
      <w:r>
        <w:rPr>
          <w:rFonts w:hint="eastAsia"/>
          <w:highlight w:val="none"/>
        </w:rPr>
        <w:t>。</w:t>
      </w:r>
    </w:p>
    <w:p w14:paraId="2B422E29">
      <w:pPr>
        <w:ind w:firstLine="420"/>
        <w:rPr>
          <w:highlight w:val="none"/>
        </w:rPr>
      </w:pPr>
      <w:r>
        <w:rPr>
          <w:highlight w:val="none"/>
        </w:rPr>
        <w:t>16.</w:t>
      </w:r>
      <w:r>
        <w:rPr>
          <w:rFonts w:hint="eastAsia"/>
          <w:highlight w:val="none"/>
        </w:rPr>
        <w:t>8因分包方原因</w:t>
      </w:r>
      <w:r>
        <w:rPr>
          <w:highlight w:val="none"/>
        </w:rPr>
        <w:t>发生重大安全事故，</w:t>
      </w:r>
      <w:r>
        <w:rPr>
          <w:rFonts w:hint="eastAsia"/>
          <w:highlight w:val="none"/>
        </w:rPr>
        <w:t>分</w:t>
      </w:r>
      <w:r>
        <w:rPr>
          <w:highlight w:val="none"/>
        </w:rPr>
        <w:t>包方除按规定履行报告义务及承担相关责任和费用外，每出现一次</w:t>
      </w:r>
      <w:r>
        <w:rPr>
          <w:rFonts w:hint="eastAsia"/>
          <w:highlight w:val="none"/>
        </w:rPr>
        <w:t>分</w:t>
      </w:r>
      <w:r>
        <w:rPr>
          <w:highlight w:val="none"/>
        </w:rPr>
        <w:t>包方向发包方支付违约金</w:t>
      </w:r>
      <w:r>
        <w:rPr>
          <w:rFonts w:hint="eastAsia"/>
          <w:highlight w:val="none"/>
          <w:lang w:val="en-US" w:eastAsia="zh-CN"/>
        </w:rPr>
        <w:t>10</w:t>
      </w:r>
      <w:r>
        <w:rPr>
          <w:highlight w:val="none"/>
        </w:rPr>
        <w:t>万元，造成重大影响的，发包方有权解除合同。</w:t>
      </w:r>
    </w:p>
    <w:p w14:paraId="439412EE">
      <w:pPr>
        <w:ind w:firstLine="420"/>
        <w:rPr>
          <w:highlight w:val="none"/>
        </w:rPr>
      </w:pPr>
      <w:r>
        <w:rPr>
          <w:highlight w:val="none"/>
        </w:rPr>
        <w:t>16.</w:t>
      </w:r>
      <w:r>
        <w:rPr>
          <w:rFonts w:hint="eastAsia"/>
          <w:highlight w:val="none"/>
        </w:rPr>
        <w:t>9分包人</w:t>
      </w:r>
      <w:r>
        <w:rPr>
          <w:highlight w:val="none"/>
        </w:rPr>
        <w:t>违反本合同第13条约定义务的,发包人有权要求</w:t>
      </w:r>
      <w:r>
        <w:rPr>
          <w:rFonts w:hint="eastAsia"/>
          <w:highlight w:val="none"/>
        </w:rPr>
        <w:t>分包人</w:t>
      </w:r>
      <w:r>
        <w:rPr>
          <w:highlight w:val="none"/>
        </w:rPr>
        <w:t>承担签约</w:t>
      </w:r>
      <w:r>
        <w:rPr>
          <w:rFonts w:hint="eastAsia"/>
          <w:highlight w:val="none"/>
        </w:rPr>
        <w:t>合同</w:t>
      </w:r>
      <w:r>
        <w:rPr>
          <w:rFonts w:hint="eastAsia"/>
          <w:highlight w:val="none"/>
          <w:lang w:val="en-US" w:eastAsia="zh-CN"/>
        </w:rPr>
        <w:t>总价5</w:t>
      </w:r>
      <w:r>
        <w:rPr>
          <w:highlight w:val="none"/>
        </w:rPr>
        <w:t>%的违约金，并有权解除本合同。</w:t>
      </w:r>
    </w:p>
    <w:p w14:paraId="1D191A1F">
      <w:pPr>
        <w:ind w:firstLine="420"/>
        <w:rPr>
          <w:highlight w:val="none"/>
        </w:rPr>
      </w:pPr>
      <w:r>
        <w:rPr>
          <w:highlight w:val="none"/>
        </w:rPr>
        <w:t>16.</w:t>
      </w:r>
      <w:r>
        <w:rPr>
          <w:rFonts w:hint="eastAsia"/>
          <w:highlight w:val="none"/>
        </w:rPr>
        <w:t>10分包人</w:t>
      </w:r>
      <w:r>
        <w:rPr>
          <w:highlight w:val="none"/>
        </w:rPr>
        <w:t>违反本合同第14条约定义务的,应向发包人支付签约</w:t>
      </w:r>
      <w:r>
        <w:rPr>
          <w:rFonts w:hint="eastAsia"/>
          <w:highlight w:val="none"/>
        </w:rPr>
        <w:t>合同</w:t>
      </w:r>
      <w:r>
        <w:rPr>
          <w:rFonts w:hint="eastAsia"/>
          <w:highlight w:val="none"/>
          <w:lang w:val="en-US" w:eastAsia="zh-CN"/>
        </w:rPr>
        <w:t>总价5</w:t>
      </w:r>
      <w:r>
        <w:rPr>
          <w:highlight w:val="none"/>
        </w:rPr>
        <w:t>%的违约金，并应承担一切法律责任。</w:t>
      </w:r>
    </w:p>
    <w:p w14:paraId="18EF0CD8">
      <w:pPr>
        <w:ind w:firstLine="420"/>
        <w:rPr>
          <w:highlight w:val="none"/>
        </w:rPr>
      </w:pPr>
      <w:r>
        <w:rPr>
          <w:highlight w:val="none"/>
        </w:rPr>
        <w:t>16.1</w:t>
      </w:r>
      <w:r>
        <w:rPr>
          <w:rFonts w:hint="eastAsia"/>
          <w:highlight w:val="none"/>
        </w:rPr>
        <w:t>1分包人在工程中使用不符合本合同约定要求的材料和工程设备的，分包人应按发包人、发包人授权代表或监理人要求的期限进行整改，承担由此增加的费用和（或）延误的工期，并按不合格设备、材料价格的</w:t>
      </w:r>
      <w:r>
        <w:rPr>
          <w:rFonts w:hint="eastAsia"/>
          <w:highlight w:val="none"/>
          <w:lang w:val="en-US" w:eastAsia="zh-CN"/>
        </w:rPr>
        <w:t>15</w:t>
      </w:r>
      <w:r>
        <w:rPr>
          <w:rFonts w:hint="eastAsia"/>
          <w:highlight w:val="none"/>
        </w:rPr>
        <w:t>%向发包人支付违约金，不足以弥补发包人实际损失部分，仍应承担赔偿责任。</w:t>
      </w:r>
    </w:p>
    <w:p w14:paraId="7EE47F0E">
      <w:pPr>
        <w:ind w:firstLine="420"/>
        <w:rPr>
          <w:highlight w:val="none"/>
        </w:rPr>
      </w:pPr>
      <w:r>
        <w:rPr>
          <w:highlight w:val="none"/>
        </w:rPr>
        <w:t>16.1</w:t>
      </w:r>
      <w:r>
        <w:rPr>
          <w:rFonts w:hint="eastAsia"/>
          <w:highlight w:val="none"/>
        </w:rPr>
        <w:t>2分包人未经批准擅自将已经按照合同约定进入施工现场的施工设备、临时设施或材料撤离施工现场的，分包人应承担由此导致的费用增加和（或）延误的工期，每发生一次应向发包人支付合同</w:t>
      </w:r>
      <w:r>
        <w:rPr>
          <w:rFonts w:hint="eastAsia"/>
          <w:highlight w:val="none"/>
          <w:lang w:val="en-US" w:eastAsia="zh-CN"/>
        </w:rPr>
        <w:t>总价10</w:t>
      </w:r>
      <w:r>
        <w:rPr>
          <w:highlight w:val="none"/>
        </w:rPr>
        <w:t>%的违约</w:t>
      </w:r>
      <w:r>
        <w:rPr>
          <w:rFonts w:hint="eastAsia"/>
          <w:highlight w:val="none"/>
        </w:rPr>
        <w:t>金。</w:t>
      </w:r>
    </w:p>
    <w:p w14:paraId="70B05760">
      <w:pPr>
        <w:ind w:firstLine="420"/>
        <w:rPr>
          <w:highlight w:val="none"/>
        </w:rPr>
      </w:pPr>
      <w:r>
        <w:rPr>
          <w:rFonts w:hint="eastAsia"/>
          <w:highlight w:val="none"/>
        </w:rPr>
        <w:t>16.13</w:t>
      </w:r>
      <w:r>
        <w:rPr>
          <w:rFonts w:hint="eastAsia"/>
          <w:highlight w:val="none"/>
          <w:lang w:val="en-US" w:eastAsia="zh-CN"/>
        </w:rPr>
        <w:t>若因</w:t>
      </w:r>
      <w:r>
        <w:rPr>
          <w:rFonts w:hint="eastAsia"/>
          <w:highlight w:val="none"/>
        </w:rPr>
        <w:t>分包方原因致使发包人</w:t>
      </w:r>
      <w:r>
        <w:rPr>
          <w:rFonts w:hint="eastAsia"/>
          <w:highlight w:val="none"/>
          <w:lang w:val="en-US" w:eastAsia="zh-CN"/>
        </w:rPr>
        <w:t>遭受处罚或其他损失</w:t>
      </w:r>
      <w:r>
        <w:rPr>
          <w:rFonts w:hint="eastAsia"/>
          <w:highlight w:val="none"/>
        </w:rPr>
        <w:t>，分包方应全额承担发包人因此遭受的</w:t>
      </w:r>
      <w:r>
        <w:rPr>
          <w:rFonts w:hint="eastAsia"/>
          <w:highlight w:val="none"/>
          <w:lang w:eastAsia="zh-CN"/>
        </w:rPr>
        <w:t>全部损失</w:t>
      </w:r>
      <w:r>
        <w:rPr>
          <w:rFonts w:hint="eastAsia"/>
          <w:highlight w:val="none"/>
        </w:rPr>
        <w:t>。</w:t>
      </w:r>
    </w:p>
    <w:p w14:paraId="78F24631">
      <w:pPr>
        <w:ind w:firstLine="420"/>
        <w:rPr>
          <w:rFonts w:hint="eastAsia"/>
          <w:highlight w:val="none"/>
        </w:rPr>
      </w:pPr>
      <w:r>
        <w:rPr>
          <w:rFonts w:hint="eastAsia"/>
          <w:highlight w:val="none"/>
        </w:rPr>
        <w:t>16.14若本合同及附件的各项违约条款所规定的责任或处罚不一致时，违约责任的判定与执行以较重者为准。</w:t>
      </w:r>
    </w:p>
    <w:p w14:paraId="364A4FC8">
      <w:pPr>
        <w:pStyle w:val="2"/>
        <w:spacing w:before="156"/>
        <w:rPr>
          <w:rFonts w:hint="eastAsia"/>
          <w:highlight w:val="none"/>
          <w:lang w:val="en-US" w:eastAsia="zh-CN"/>
        </w:rPr>
      </w:pPr>
      <w:r>
        <w:rPr>
          <w:rFonts w:hint="eastAsia"/>
          <w:highlight w:val="none"/>
          <w:lang w:val="en-US" w:eastAsia="zh-CN"/>
        </w:rPr>
        <w:t>17.变更</w:t>
      </w:r>
    </w:p>
    <w:p w14:paraId="317E13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eastAsia="zh-CN"/>
        </w:rPr>
        <w:t>17.</w:t>
      </w:r>
      <w:r>
        <w:rPr>
          <w:rFonts w:hint="eastAsia" w:ascii="仿宋_GB2312" w:hAnsi="仿宋_GB2312" w:eastAsia="仿宋_GB2312" w:cs="仿宋_GB2312"/>
          <w:sz w:val="21"/>
          <w:szCs w:val="21"/>
          <w:highlight w:val="none"/>
        </w:rPr>
        <w:t>1施工中如发生对原工作内容进行变更，</w:t>
      </w:r>
      <w:r>
        <w:rPr>
          <w:rFonts w:hint="eastAsia" w:ascii="仿宋_GB2312" w:hAnsi="仿宋_GB2312" w:eastAsia="仿宋_GB2312" w:cs="仿宋_GB2312"/>
          <w:sz w:val="21"/>
          <w:szCs w:val="21"/>
          <w:highlight w:val="none"/>
          <w:lang w:val="en-US" w:eastAsia="zh-CN"/>
        </w:rPr>
        <w:t>发</w:t>
      </w:r>
      <w:r>
        <w:rPr>
          <w:rFonts w:hint="eastAsia" w:ascii="仿宋_GB2312" w:hAnsi="仿宋_GB2312" w:eastAsia="仿宋_GB2312" w:cs="仿宋_GB2312"/>
          <w:sz w:val="21"/>
          <w:szCs w:val="21"/>
          <w:highlight w:val="none"/>
        </w:rPr>
        <w:t>包</w:t>
      </w:r>
      <w:r>
        <w:rPr>
          <w:rFonts w:hint="eastAsia" w:ascii="仿宋_GB2312" w:hAnsi="仿宋_GB2312" w:eastAsia="仿宋_GB2312" w:cs="仿宋_GB2312"/>
          <w:sz w:val="21"/>
          <w:szCs w:val="21"/>
          <w:highlight w:val="none"/>
          <w:lang w:eastAsia="zh-CN"/>
        </w:rPr>
        <w:t>方</w:t>
      </w:r>
      <w:r>
        <w:rPr>
          <w:rFonts w:hint="eastAsia" w:ascii="仿宋_GB2312" w:hAnsi="仿宋_GB2312" w:eastAsia="仿宋_GB2312" w:cs="仿宋_GB2312"/>
          <w:sz w:val="21"/>
          <w:szCs w:val="21"/>
          <w:highlight w:val="none"/>
        </w:rPr>
        <w:t>应提前7天以书面形式向分包</w:t>
      </w:r>
      <w:r>
        <w:rPr>
          <w:rFonts w:hint="eastAsia" w:ascii="仿宋_GB2312" w:hAnsi="仿宋_GB2312" w:eastAsia="仿宋_GB2312" w:cs="仿宋_GB2312"/>
          <w:sz w:val="21"/>
          <w:szCs w:val="21"/>
          <w:highlight w:val="none"/>
          <w:lang w:eastAsia="zh-CN"/>
        </w:rPr>
        <w:t>方</w:t>
      </w:r>
      <w:r>
        <w:rPr>
          <w:rFonts w:hint="eastAsia" w:ascii="仿宋_GB2312" w:hAnsi="仿宋_GB2312" w:eastAsia="仿宋_GB2312" w:cs="仿宋_GB2312"/>
          <w:sz w:val="21"/>
          <w:szCs w:val="21"/>
          <w:highlight w:val="none"/>
        </w:rPr>
        <w:t>发出变更通知，并提供变更的相应图纸和说明。分包</w:t>
      </w:r>
      <w:r>
        <w:rPr>
          <w:rFonts w:hint="eastAsia" w:ascii="仿宋_GB2312" w:hAnsi="仿宋_GB2312" w:eastAsia="仿宋_GB2312" w:cs="仿宋_GB2312"/>
          <w:sz w:val="21"/>
          <w:szCs w:val="21"/>
          <w:highlight w:val="none"/>
          <w:lang w:eastAsia="zh-CN"/>
        </w:rPr>
        <w:t>方</w:t>
      </w:r>
      <w:r>
        <w:rPr>
          <w:rFonts w:hint="eastAsia" w:ascii="仿宋_GB2312" w:hAnsi="仿宋_GB2312" w:eastAsia="仿宋_GB2312" w:cs="仿宋_GB2312"/>
          <w:sz w:val="21"/>
          <w:szCs w:val="21"/>
          <w:highlight w:val="none"/>
        </w:rPr>
        <w:t>按照</w:t>
      </w:r>
      <w:r>
        <w:rPr>
          <w:rFonts w:hint="eastAsia" w:ascii="仿宋_GB2312" w:hAnsi="仿宋_GB2312" w:eastAsia="仿宋_GB2312" w:cs="仿宋_GB2312"/>
          <w:sz w:val="21"/>
          <w:szCs w:val="21"/>
          <w:highlight w:val="none"/>
          <w:lang w:val="en-US" w:eastAsia="zh-CN"/>
        </w:rPr>
        <w:t>发</w:t>
      </w:r>
      <w:r>
        <w:rPr>
          <w:rFonts w:hint="eastAsia" w:ascii="仿宋_GB2312" w:hAnsi="仿宋_GB2312" w:eastAsia="仿宋_GB2312" w:cs="仿宋_GB2312"/>
          <w:sz w:val="21"/>
          <w:szCs w:val="21"/>
          <w:highlight w:val="none"/>
        </w:rPr>
        <w:t>包</w:t>
      </w:r>
      <w:r>
        <w:rPr>
          <w:rFonts w:hint="eastAsia" w:ascii="仿宋_GB2312" w:hAnsi="仿宋_GB2312" w:eastAsia="仿宋_GB2312" w:cs="仿宋_GB2312"/>
          <w:sz w:val="21"/>
          <w:szCs w:val="21"/>
          <w:highlight w:val="none"/>
          <w:lang w:eastAsia="zh-CN"/>
        </w:rPr>
        <w:t>方</w:t>
      </w:r>
      <w:r>
        <w:rPr>
          <w:rFonts w:hint="eastAsia" w:ascii="仿宋_GB2312" w:hAnsi="仿宋_GB2312" w:eastAsia="仿宋_GB2312" w:cs="仿宋_GB2312"/>
          <w:sz w:val="21"/>
          <w:szCs w:val="21"/>
          <w:highlight w:val="none"/>
        </w:rPr>
        <w:t>发出的变更通知及有关要求，进行下列需要的变更：</w:t>
      </w:r>
    </w:p>
    <w:p w14:paraId="288E11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1</w:t>
      </w:r>
      <w:r>
        <w:rPr>
          <w:rFonts w:hint="eastAsia" w:ascii="仿宋_GB2312" w:hAnsi="仿宋_GB2312" w:eastAsia="仿宋_GB2312" w:cs="仿宋_GB2312"/>
          <w:sz w:val="21"/>
          <w:szCs w:val="21"/>
          <w:highlight w:val="none"/>
        </w:rPr>
        <w:t>）增减合同中约定的</w:t>
      </w:r>
      <w:r>
        <w:rPr>
          <w:rFonts w:hint="eastAsia" w:cs="仿宋_GB2312"/>
          <w:sz w:val="21"/>
          <w:szCs w:val="21"/>
          <w:highlight w:val="none"/>
          <w:lang w:val="en-US" w:eastAsia="zh-CN"/>
        </w:rPr>
        <w:t>分包</w:t>
      </w:r>
      <w:r>
        <w:rPr>
          <w:rFonts w:hint="eastAsia" w:ascii="仿宋_GB2312" w:hAnsi="仿宋_GB2312" w:eastAsia="仿宋_GB2312" w:cs="仿宋_GB2312"/>
          <w:sz w:val="21"/>
          <w:szCs w:val="21"/>
          <w:highlight w:val="none"/>
          <w:lang w:val="en-US" w:eastAsia="zh-CN"/>
        </w:rPr>
        <w:t>范围</w:t>
      </w:r>
      <w:r>
        <w:rPr>
          <w:rFonts w:hint="eastAsia" w:ascii="仿宋_GB2312" w:hAnsi="仿宋_GB2312" w:eastAsia="仿宋_GB2312" w:cs="仿宋_GB2312"/>
          <w:sz w:val="21"/>
          <w:szCs w:val="21"/>
          <w:highlight w:val="none"/>
        </w:rPr>
        <w:t>；</w:t>
      </w:r>
    </w:p>
    <w:p w14:paraId="5CAB60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2</w:t>
      </w:r>
      <w:r>
        <w:rPr>
          <w:rFonts w:hint="eastAsia" w:ascii="仿宋_GB2312" w:hAnsi="仿宋_GB2312" w:eastAsia="仿宋_GB2312" w:cs="仿宋_GB2312"/>
          <w:sz w:val="21"/>
          <w:szCs w:val="21"/>
          <w:highlight w:val="none"/>
        </w:rPr>
        <w:t>）改变有关的施工时间和顺序；</w:t>
      </w:r>
    </w:p>
    <w:p w14:paraId="0C907A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3</w:t>
      </w:r>
      <w:r>
        <w:rPr>
          <w:rFonts w:hint="eastAsia" w:ascii="仿宋_GB2312" w:hAnsi="仿宋_GB2312" w:eastAsia="仿宋_GB2312" w:cs="仿宋_GB2312"/>
          <w:sz w:val="21"/>
          <w:szCs w:val="21"/>
          <w:highlight w:val="none"/>
        </w:rPr>
        <w:t>）其他有关工程变更需要的附加工作。</w:t>
      </w:r>
    </w:p>
    <w:p w14:paraId="3E33AE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eastAsia="zh-CN"/>
        </w:rPr>
        <w:t>17.</w:t>
      </w:r>
      <w:r>
        <w:rPr>
          <w:rFonts w:hint="eastAsia" w:ascii="仿宋_GB2312" w:hAnsi="仿宋_GB2312" w:eastAsia="仿宋_GB2312" w:cs="仿宋_GB2312"/>
          <w:sz w:val="21"/>
          <w:szCs w:val="21"/>
          <w:highlight w:val="none"/>
        </w:rPr>
        <w:t>2因变更导致</w:t>
      </w:r>
      <w:r>
        <w:rPr>
          <w:rFonts w:hint="eastAsia" w:ascii="仿宋_GB2312" w:hAnsi="仿宋_GB2312" w:eastAsia="仿宋_GB2312" w:cs="仿宋_GB2312"/>
          <w:sz w:val="21"/>
          <w:szCs w:val="21"/>
          <w:highlight w:val="none"/>
          <w:lang w:val="en-US" w:eastAsia="zh-CN"/>
        </w:rPr>
        <w:t>工期延误</w:t>
      </w:r>
      <w:r>
        <w:rPr>
          <w:rFonts w:hint="eastAsia" w:ascii="仿宋_GB2312" w:hAnsi="仿宋_GB2312" w:eastAsia="仿宋_GB2312" w:cs="仿宋_GB2312"/>
          <w:sz w:val="21"/>
          <w:szCs w:val="21"/>
          <w:highlight w:val="none"/>
        </w:rPr>
        <w:t>，延误的工期相应顺延</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分包方应在变更发生后7日内提交工期顺延报告及证明材料，逾期视为放弃权利。</w:t>
      </w:r>
    </w:p>
    <w:p w14:paraId="24F2E60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sz w:val="21"/>
          <w:szCs w:val="21"/>
          <w:highlight w:val="none"/>
          <w:lang w:val="en-US"/>
        </w:rPr>
      </w:pPr>
      <w:r>
        <w:rPr>
          <w:rFonts w:hint="eastAsia" w:ascii="仿宋_GB2312" w:hAnsi="仿宋_GB2312" w:eastAsia="仿宋_GB2312" w:cs="仿宋_GB2312"/>
          <w:sz w:val="21"/>
          <w:szCs w:val="21"/>
          <w:highlight w:val="none"/>
          <w:lang w:val="en-US" w:eastAsia="zh-CN"/>
        </w:rPr>
        <w:t>17.3</w:t>
      </w:r>
      <w:r>
        <w:rPr>
          <w:rFonts w:hint="eastAsia" w:ascii="仿宋_GB2312" w:hAnsi="仿宋_GB2312" w:eastAsia="仿宋_GB2312" w:cs="仿宋_GB2312"/>
          <w:sz w:val="21"/>
          <w:szCs w:val="21"/>
          <w:highlight w:val="none"/>
        </w:rPr>
        <w:t>分包人仅执行经发包人确认的关于分包工程变更的指令。未经发包人确认，分包人不得执行从业主方、监理人或其他任何第三方处直接接收的有关分包工程变更的指令。如分包人直接收到此类变更指令，应立即通知发包人并向发包人提供该直接指令的</w:t>
      </w:r>
      <w:r>
        <w:rPr>
          <w:rFonts w:hint="eastAsia" w:ascii="仿宋_GB2312" w:hAnsi="仿宋_GB2312" w:eastAsia="仿宋_GB2312" w:cs="仿宋_GB2312"/>
          <w:sz w:val="21"/>
          <w:szCs w:val="21"/>
          <w:highlight w:val="none"/>
          <w:lang w:val="en-US" w:eastAsia="zh-CN"/>
        </w:rPr>
        <w:t>原件</w:t>
      </w:r>
      <w:r>
        <w:rPr>
          <w:rFonts w:hint="eastAsia" w:ascii="仿宋_GB2312" w:hAnsi="仿宋_GB2312" w:eastAsia="仿宋_GB2312" w:cs="仿宋_GB2312"/>
          <w:sz w:val="21"/>
          <w:szCs w:val="21"/>
          <w:highlight w:val="none"/>
        </w:rPr>
        <w:t>。由发包人提出关于对该指令的处理意见后，按发包人意见实施。</w:t>
      </w:r>
      <w:r>
        <w:rPr>
          <w:rFonts w:hint="eastAsia" w:ascii="仿宋_GB2312" w:hAnsi="仿宋_GB2312" w:eastAsia="仿宋_GB2312" w:cs="仿宋_GB2312"/>
          <w:sz w:val="21"/>
          <w:szCs w:val="21"/>
          <w:highlight w:val="none"/>
          <w:lang w:val="en-US" w:eastAsia="zh-CN"/>
        </w:rPr>
        <w:t>任何未经过发包人确认，分包方擅自执行变更</w:t>
      </w:r>
      <w:r>
        <w:rPr>
          <w:rFonts w:hint="eastAsia" w:ascii="仿宋_GB2312" w:hAnsi="仿宋_GB2312" w:eastAsia="仿宋_GB2312" w:cs="仿宋_GB2312"/>
          <w:sz w:val="21"/>
          <w:szCs w:val="21"/>
          <w:highlight w:val="none"/>
        </w:rPr>
        <w:t>发生的费用和由此导致</w:t>
      </w:r>
      <w:r>
        <w:rPr>
          <w:rFonts w:hint="eastAsia" w:ascii="仿宋_GB2312" w:hAnsi="仿宋_GB2312" w:eastAsia="仿宋_GB2312" w:cs="仿宋_GB2312"/>
          <w:sz w:val="21"/>
          <w:szCs w:val="21"/>
          <w:highlight w:val="none"/>
          <w:lang w:val="en-US" w:eastAsia="zh-CN"/>
        </w:rPr>
        <w:t>发</w:t>
      </w:r>
      <w:r>
        <w:rPr>
          <w:rFonts w:hint="eastAsia" w:ascii="仿宋_GB2312" w:hAnsi="仿宋_GB2312" w:eastAsia="仿宋_GB2312" w:cs="仿宋_GB2312"/>
          <w:sz w:val="21"/>
          <w:szCs w:val="21"/>
          <w:highlight w:val="none"/>
        </w:rPr>
        <w:t>包</w:t>
      </w:r>
      <w:r>
        <w:rPr>
          <w:rFonts w:hint="eastAsia" w:ascii="仿宋_GB2312" w:hAnsi="仿宋_GB2312" w:eastAsia="仿宋_GB2312" w:cs="仿宋_GB2312"/>
          <w:sz w:val="21"/>
          <w:szCs w:val="21"/>
          <w:highlight w:val="none"/>
          <w:lang w:eastAsia="zh-CN"/>
        </w:rPr>
        <w:t>方</w:t>
      </w:r>
      <w:r>
        <w:rPr>
          <w:rFonts w:hint="eastAsia" w:ascii="仿宋_GB2312" w:hAnsi="仿宋_GB2312" w:eastAsia="仿宋_GB2312" w:cs="仿宋_GB2312"/>
          <w:sz w:val="21"/>
          <w:szCs w:val="21"/>
          <w:highlight w:val="none"/>
        </w:rPr>
        <w:t>的直接损失，由分包</w:t>
      </w:r>
      <w:r>
        <w:rPr>
          <w:rFonts w:hint="eastAsia" w:ascii="仿宋_GB2312" w:hAnsi="仿宋_GB2312" w:eastAsia="仿宋_GB2312" w:cs="仿宋_GB2312"/>
          <w:sz w:val="21"/>
          <w:szCs w:val="21"/>
          <w:highlight w:val="none"/>
          <w:lang w:eastAsia="zh-CN"/>
        </w:rPr>
        <w:t>方</w:t>
      </w:r>
      <w:r>
        <w:rPr>
          <w:rFonts w:hint="eastAsia" w:ascii="仿宋_GB2312" w:hAnsi="仿宋_GB2312" w:eastAsia="仿宋_GB2312" w:cs="仿宋_GB2312"/>
          <w:sz w:val="21"/>
          <w:szCs w:val="21"/>
          <w:highlight w:val="none"/>
        </w:rPr>
        <w:t>承担，延误的工期不予顺延。</w:t>
      </w:r>
    </w:p>
    <w:p w14:paraId="60FAC1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eastAsia="zh-CN"/>
        </w:rPr>
        <w:t>17.</w:t>
      </w:r>
      <w:r>
        <w:rPr>
          <w:rFonts w:hint="eastAsia" w:ascii="仿宋_GB2312" w:hAnsi="仿宋_GB2312" w:eastAsia="仿宋_GB2312" w:cs="仿宋_GB2312"/>
          <w:sz w:val="21"/>
          <w:szCs w:val="21"/>
          <w:highlight w:val="none"/>
          <w:lang w:val="en-US" w:eastAsia="zh-CN"/>
        </w:rPr>
        <w:t>4</w:t>
      </w:r>
      <w:r>
        <w:rPr>
          <w:rFonts w:hint="eastAsia" w:ascii="仿宋_GB2312" w:hAnsi="仿宋_GB2312" w:eastAsia="仿宋_GB2312" w:cs="仿宋_GB2312"/>
          <w:sz w:val="21"/>
          <w:szCs w:val="21"/>
          <w:highlight w:val="none"/>
        </w:rPr>
        <w:t>施工中分包</w:t>
      </w:r>
      <w:r>
        <w:rPr>
          <w:rFonts w:hint="eastAsia" w:ascii="仿宋_GB2312" w:hAnsi="仿宋_GB2312" w:eastAsia="仿宋_GB2312" w:cs="仿宋_GB2312"/>
          <w:sz w:val="21"/>
          <w:szCs w:val="21"/>
          <w:highlight w:val="none"/>
          <w:lang w:eastAsia="zh-CN"/>
        </w:rPr>
        <w:t>方</w:t>
      </w:r>
      <w:r>
        <w:rPr>
          <w:rFonts w:hint="eastAsia" w:ascii="仿宋_GB2312" w:hAnsi="仿宋_GB2312" w:eastAsia="仿宋_GB2312" w:cs="仿宋_GB2312"/>
          <w:sz w:val="21"/>
          <w:szCs w:val="21"/>
          <w:highlight w:val="none"/>
        </w:rPr>
        <w:t>不得</w:t>
      </w:r>
      <w:r>
        <w:rPr>
          <w:rFonts w:hint="eastAsia" w:cs="仿宋_GB2312"/>
          <w:sz w:val="21"/>
          <w:szCs w:val="21"/>
          <w:highlight w:val="none"/>
          <w:lang w:val="en-US" w:eastAsia="zh-CN"/>
        </w:rPr>
        <w:t>擅自</w:t>
      </w:r>
      <w:r>
        <w:rPr>
          <w:rFonts w:hint="eastAsia" w:ascii="仿宋_GB2312" w:hAnsi="仿宋_GB2312" w:eastAsia="仿宋_GB2312" w:cs="仿宋_GB2312"/>
          <w:sz w:val="21"/>
          <w:szCs w:val="21"/>
          <w:highlight w:val="none"/>
        </w:rPr>
        <w:t>对原工程设计进行变更。</w:t>
      </w:r>
      <w:r>
        <w:rPr>
          <w:rFonts w:hint="eastAsia" w:ascii="仿宋_GB2312" w:hAnsi="仿宋_GB2312" w:eastAsia="仿宋_GB2312" w:cs="仿宋_GB2312"/>
          <w:sz w:val="21"/>
          <w:szCs w:val="21"/>
          <w:highlight w:val="none"/>
          <w:lang w:val="en-US" w:eastAsia="zh-CN"/>
        </w:rPr>
        <w:t>任何未经过发包人确认，</w:t>
      </w:r>
      <w:r>
        <w:rPr>
          <w:rFonts w:hint="eastAsia" w:ascii="仿宋_GB2312" w:hAnsi="仿宋_GB2312" w:eastAsia="仿宋_GB2312" w:cs="仿宋_GB2312"/>
          <w:sz w:val="21"/>
          <w:szCs w:val="21"/>
          <w:highlight w:val="none"/>
        </w:rPr>
        <w:t>因分包</w:t>
      </w:r>
      <w:r>
        <w:rPr>
          <w:rFonts w:hint="eastAsia" w:ascii="仿宋_GB2312" w:hAnsi="仿宋_GB2312" w:eastAsia="仿宋_GB2312" w:cs="仿宋_GB2312"/>
          <w:sz w:val="21"/>
          <w:szCs w:val="21"/>
          <w:highlight w:val="none"/>
          <w:lang w:eastAsia="zh-CN"/>
        </w:rPr>
        <w:t>方</w:t>
      </w:r>
      <w:r>
        <w:rPr>
          <w:rFonts w:hint="eastAsia" w:ascii="仿宋_GB2312" w:hAnsi="仿宋_GB2312" w:eastAsia="仿宋_GB2312" w:cs="仿宋_GB2312"/>
          <w:sz w:val="21"/>
          <w:szCs w:val="21"/>
          <w:highlight w:val="none"/>
        </w:rPr>
        <w:t>擅自变更设计发生的费用和由此导致</w:t>
      </w:r>
      <w:r>
        <w:rPr>
          <w:rFonts w:hint="eastAsia" w:ascii="仿宋_GB2312" w:hAnsi="仿宋_GB2312" w:eastAsia="仿宋_GB2312" w:cs="仿宋_GB2312"/>
          <w:sz w:val="21"/>
          <w:szCs w:val="21"/>
          <w:highlight w:val="none"/>
          <w:lang w:val="en-US" w:eastAsia="zh-CN"/>
        </w:rPr>
        <w:t>发</w:t>
      </w:r>
      <w:r>
        <w:rPr>
          <w:rFonts w:hint="eastAsia" w:ascii="仿宋_GB2312" w:hAnsi="仿宋_GB2312" w:eastAsia="仿宋_GB2312" w:cs="仿宋_GB2312"/>
          <w:sz w:val="21"/>
          <w:szCs w:val="21"/>
          <w:highlight w:val="none"/>
        </w:rPr>
        <w:t>包</w:t>
      </w:r>
      <w:r>
        <w:rPr>
          <w:rFonts w:hint="eastAsia" w:ascii="仿宋_GB2312" w:hAnsi="仿宋_GB2312" w:eastAsia="仿宋_GB2312" w:cs="仿宋_GB2312"/>
          <w:sz w:val="21"/>
          <w:szCs w:val="21"/>
          <w:highlight w:val="none"/>
          <w:lang w:eastAsia="zh-CN"/>
        </w:rPr>
        <w:t>方</w:t>
      </w:r>
      <w:r>
        <w:rPr>
          <w:rFonts w:hint="eastAsia" w:ascii="仿宋_GB2312" w:hAnsi="仿宋_GB2312" w:eastAsia="仿宋_GB2312" w:cs="仿宋_GB2312"/>
          <w:sz w:val="21"/>
          <w:szCs w:val="21"/>
          <w:highlight w:val="none"/>
        </w:rPr>
        <w:t>的直接损失，由分包</w:t>
      </w:r>
      <w:r>
        <w:rPr>
          <w:rFonts w:hint="eastAsia" w:ascii="仿宋_GB2312" w:hAnsi="仿宋_GB2312" w:eastAsia="仿宋_GB2312" w:cs="仿宋_GB2312"/>
          <w:sz w:val="21"/>
          <w:szCs w:val="21"/>
          <w:highlight w:val="none"/>
          <w:lang w:eastAsia="zh-CN"/>
        </w:rPr>
        <w:t>方</w:t>
      </w:r>
      <w:r>
        <w:rPr>
          <w:rFonts w:hint="eastAsia" w:ascii="仿宋_GB2312" w:hAnsi="仿宋_GB2312" w:eastAsia="仿宋_GB2312" w:cs="仿宋_GB2312"/>
          <w:sz w:val="21"/>
          <w:szCs w:val="21"/>
          <w:highlight w:val="none"/>
        </w:rPr>
        <w:t>承担，延误的工期不予顺延。</w:t>
      </w:r>
    </w:p>
    <w:p w14:paraId="081DF2C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eastAsia" w:ascii="仿宋_GB2312" w:hAnsi="仿宋_GB2312" w:eastAsia="仿宋_GB2312" w:cs="仿宋_GB2312"/>
          <w:sz w:val="21"/>
          <w:szCs w:val="21"/>
          <w:highlight w:val="none"/>
          <w:lang w:eastAsia="zh-CN"/>
        </w:rPr>
        <w:t>17.</w:t>
      </w:r>
      <w:r>
        <w:rPr>
          <w:rFonts w:hint="eastAsia" w:ascii="仿宋_GB2312" w:hAnsi="仿宋_GB2312" w:eastAsia="仿宋_GB2312" w:cs="仿宋_GB2312"/>
          <w:sz w:val="21"/>
          <w:szCs w:val="21"/>
          <w:highlight w:val="none"/>
          <w:lang w:val="en-US" w:eastAsia="zh-CN"/>
        </w:rPr>
        <w:t>5</w:t>
      </w:r>
      <w:r>
        <w:rPr>
          <w:rFonts w:hint="eastAsia" w:ascii="仿宋_GB2312" w:hAnsi="仿宋_GB2312" w:eastAsia="仿宋_GB2312" w:cs="仿宋_GB2312"/>
          <w:sz w:val="21"/>
          <w:szCs w:val="21"/>
          <w:highlight w:val="none"/>
        </w:rPr>
        <w:t>因分包</w:t>
      </w:r>
      <w:r>
        <w:rPr>
          <w:rFonts w:hint="eastAsia" w:ascii="仿宋_GB2312" w:hAnsi="仿宋_GB2312" w:eastAsia="仿宋_GB2312" w:cs="仿宋_GB2312"/>
          <w:sz w:val="21"/>
          <w:szCs w:val="21"/>
          <w:highlight w:val="none"/>
          <w:lang w:eastAsia="zh-CN"/>
        </w:rPr>
        <w:t>方</w:t>
      </w:r>
      <w:r>
        <w:rPr>
          <w:rFonts w:hint="eastAsia" w:ascii="仿宋_GB2312" w:hAnsi="仿宋_GB2312" w:eastAsia="仿宋_GB2312" w:cs="仿宋_GB2312"/>
          <w:sz w:val="21"/>
          <w:szCs w:val="21"/>
          <w:highlight w:val="none"/>
        </w:rPr>
        <w:t>自身原因包括但不限于施工方案错误、材料不合格、未按图施工等过错行为导致的工程变更，分包</w:t>
      </w:r>
      <w:r>
        <w:rPr>
          <w:rFonts w:hint="eastAsia" w:ascii="仿宋_GB2312" w:hAnsi="仿宋_GB2312" w:eastAsia="仿宋_GB2312" w:cs="仿宋_GB2312"/>
          <w:sz w:val="21"/>
          <w:szCs w:val="21"/>
          <w:highlight w:val="none"/>
          <w:lang w:eastAsia="zh-CN"/>
        </w:rPr>
        <w:t>方</w:t>
      </w:r>
      <w:r>
        <w:rPr>
          <w:rFonts w:hint="eastAsia" w:ascii="仿宋_GB2312" w:hAnsi="仿宋_GB2312" w:eastAsia="仿宋_GB2312" w:cs="仿宋_GB2312"/>
          <w:sz w:val="21"/>
          <w:szCs w:val="21"/>
          <w:highlight w:val="none"/>
        </w:rPr>
        <w:t>无权要求追加劳务报酬</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工期不予顺延</w:t>
      </w:r>
      <w:r>
        <w:rPr>
          <w:rFonts w:hint="eastAsia" w:cs="仿宋_GB2312"/>
          <w:sz w:val="21"/>
          <w:szCs w:val="21"/>
          <w:highlight w:val="none"/>
          <w:lang w:val="en-US" w:eastAsia="zh-CN"/>
        </w:rPr>
        <w:t>。</w:t>
      </w:r>
    </w:p>
    <w:p w14:paraId="017BBE5D">
      <w:pPr>
        <w:pStyle w:val="2"/>
        <w:spacing w:before="156"/>
        <w:rPr>
          <w:highlight w:val="none"/>
        </w:rPr>
      </w:pPr>
      <w:bookmarkStart w:id="38" w:name="_Toc6780"/>
      <w:r>
        <w:rPr>
          <w:highlight w:val="none"/>
        </w:rPr>
        <w:t>1</w:t>
      </w:r>
      <w:r>
        <w:rPr>
          <w:rFonts w:hint="eastAsia"/>
          <w:highlight w:val="none"/>
          <w:lang w:val="en-US" w:eastAsia="zh-CN"/>
        </w:rPr>
        <w:t>8</w:t>
      </w:r>
      <w:r>
        <w:rPr>
          <w:highlight w:val="none"/>
        </w:rPr>
        <w:t>.索赔</w:t>
      </w:r>
      <w:bookmarkEnd w:id="38"/>
    </w:p>
    <w:p w14:paraId="1910EA70">
      <w:pPr>
        <w:ind w:firstLine="420"/>
        <w:rPr>
          <w:highlight w:val="none"/>
        </w:rPr>
      </w:pPr>
      <w:bookmarkStart w:id="39" w:name="_Toc16327"/>
      <w:r>
        <w:rPr>
          <w:rFonts w:hint="eastAsia"/>
          <w:highlight w:val="none"/>
          <w:lang w:eastAsia="zh-CN"/>
        </w:rPr>
        <w:t>18.</w:t>
      </w:r>
      <w:r>
        <w:rPr>
          <w:highlight w:val="none"/>
        </w:rPr>
        <w:t>1本合同任何一方如有正当的索赔理由和有关索赔事件的证据，并有意向对方索赔，均应在索赔事件发生后28天内(含本数)，向另一方发出书面通知(简称“索赔通知”)进行索赔。</w:t>
      </w:r>
    </w:p>
    <w:p w14:paraId="7D067EDB">
      <w:pPr>
        <w:ind w:firstLine="420"/>
        <w:rPr>
          <w:highlight w:val="none"/>
        </w:rPr>
      </w:pPr>
      <w:r>
        <w:rPr>
          <w:rFonts w:hint="eastAsia"/>
          <w:highlight w:val="none"/>
          <w:lang w:eastAsia="zh-CN"/>
        </w:rPr>
        <w:t>18.</w:t>
      </w:r>
      <w:r>
        <w:rPr>
          <w:highlight w:val="none"/>
        </w:rPr>
        <w:t>2被索赔方应在接到索赔通知后28天内(含本数)给予回应包括要求对方进一步补充索赔理由和证据。若发包人和</w:t>
      </w:r>
      <w:r>
        <w:rPr>
          <w:rFonts w:hint="eastAsia"/>
          <w:highlight w:val="none"/>
        </w:rPr>
        <w:t>分包人</w:t>
      </w:r>
      <w:r>
        <w:rPr>
          <w:highlight w:val="none"/>
        </w:rPr>
        <w:t>就索赔处理结果不能达成一致意见，可按第</w:t>
      </w:r>
      <w:r>
        <w:rPr>
          <w:rFonts w:hint="eastAsia"/>
          <w:highlight w:val="none"/>
        </w:rPr>
        <w:t>2</w:t>
      </w:r>
      <w:r>
        <w:rPr>
          <w:rFonts w:hint="eastAsia"/>
          <w:highlight w:val="none"/>
          <w:lang w:val="en-US" w:eastAsia="zh-CN"/>
        </w:rPr>
        <w:t>1</w:t>
      </w:r>
      <w:r>
        <w:rPr>
          <w:highlight w:val="none"/>
        </w:rPr>
        <w:t>条的约定办理。</w:t>
      </w:r>
    </w:p>
    <w:p w14:paraId="6CFA6253">
      <w:pPr>
        <w:pStyle w:val="2"/>
        <w:numPr>
          <w:ilvl w:val="0"/>
          <w:numId w:val="2"/>
        </w:numPr>
        <w:spacing w:before="156"/>
        <w:rPr>
          <w:highlight w:val="none"/>
        </w:rPr>
      </w:pPr>
      <w:r>
        <w:rPr>
          <w:highlight w:val="none"/>
        </w:rPr>
        <w:t>不可抗力</w:t>
      </w:r>
      <w:bookmarkEnd w:id="39"/>
    </w:p>
    <w:p w14:paraId="1F0D0A78">
      <w:pPr>
        <w:ind w:firstLine="420"/>
        <w:rPr>
          <w:highlight w:val="none"/>
        </w:rPr>
      </w:pPr>
      <w:r>
        <w:rPr>
          <w:rFonts w:hint="eastAsia"/>
          <w:highlight w:val="none"/>
          <w:lang w:eastAsia="zh-CN"/>
        </w:rPr>
        <w:t>19.</w:t>
      </w:r>
      <w:r>
        <w:rPr>
          <w:highlight w:val="none"/>
        </w:rPr>
        <w:t>1不可抗力是指不能预见、不能避免并不能克服的客观情况包括但不限于自然灾害、战争、武装冲突、社会动乱、暴乱或按照本条的定义构成不可抗力的其他事件。</w:t>
      </w:r>
    </w:p>
    <w:p w14:paraId="6906580B">
      <w:pPr>
        <w:ind w:firstLine="420"/>
        <w:rPr>
          <w:highlight w:val="none"/>
        </w:rPr>
      </w:pPr>
      <w:r>
        <w:rPr>
          <w:rFonts w:hint="eastAsia"/>
          <w:highlight w:val="none"/>
          <w:lang w:eastAsia="zh-CN"/>
        </w:rPr>
        <w:t>19.</w:t>
      </w:r>
      <w:r>
        <w:rPr>
          <w:highlight w:val="none"/>
        </w:rPr>
        <w:t>2若不可抗力的发生完全或部分地妨碍一方履行本合同项下的任何义务，则该方可免除或延迟履行其义务，但前提是:</w:t>
      </w:r>
    </w:p>
    <w:p w14:paraId="2F3D9330">
      <w:pPr>
        <w:ind w:firstLine="420"/>
        <w:rPr>
          <w:highlight w:val="none"/>
        </w:rPr>
      </w:pPr>
      <w:r>
        <w:rPr>
          <w:rFonts w:hint="eastAsia"/>
          <w:highlight w:val="none"/>
          <w:lang w:eastAsia="zh-CN"/>
        </w:rPr>
        <w:t>19.</w:t>
      </w:r>
      <w:r>
        <w:rPr>
          <w:highlight w:val="none"/>
        </w:rPr>
        <w:t>2.1免除或延迟履行的范围和时间不超过消除不可抗力影响的合理需要;</w:t>
      </w:r>
    </w:p>
    <w:p w14:paraId="0B5222B8">
      <w:pPr>
        <w:ind w:firstLine="420"/>
        <w:rPr>
          <w:highlight w:val="none"/>
        </w:rPr>
      </w:pPr>
      <w:r>
        <w:rPr>
          <w:rFonts w:hint="eastAsia"/>
          <w:highlight w:val="none"/>
          <w:lang w:eastAsia="zh-CN"/>
        </w:rPr>
        <w:t>19.</w:t>
      </w:r>
      <w:r>
        <w:rPr>
          <w:highlight w:val="none"/>
        </w:rPr>
        <w:t>2.2受不可抗力影响的一方应继续履行本合同项下未受不可抗力影响的其他义务;</w:t>
      </w:r>
    </w:p>
    <w:p w14:paraId="3C3B247C">
      <w:pPr>
        <w:bidi w:val="0"/>
        <w:rPr>
          <w:highlight w:val="none"/>
        </w:rPr>
      </w:pPr>
      <w:bookmarkStart w:id="40" w:name="_Toc25313"/>
      <w:r>
        <w:rPr>
          <w:rFonts w:hint="eastAsia"/>
          <w:highlight w:val="none"/>
          <w:lang w:eastAsia="zh-CN"/>
        </w:rPr>
        <w:t>19.</w:t>
      </w:r>
      <w:r>
        <w:rPr>
          <w:highlight w:val="none"/>
        </w:rPr>
        <w:t>2.3一旦不可抗力结束，该方应尽快恢复履行本合同。</w:t>
      </w:r>
      <w:bookmarkEnd w:id="40"/>
    </w:p>
    <w:p w14:paraId="79AA653D">
      <w:pPr>
        <w:ind w:firstLine="420"/>
        <w:rPr>
          <w:highlight w:val="none"/>
        </w:rPr>
      </w:pPr>
      <w:r>
        <w:rPr>
          <w:rFonts w:hint="eastAsia"/>
          <w:highlight w:val="none"/>
          <w:lang w:eastAsia="zh-CN"/>
        </w:rPr>
        <w:t>19.</w:t>
      </w:r>
      <w:r>
        <w:rPr>
          <w:highlight w:val="none"/>
        </w:rPr>
        <w:t>3若任何一方因不可抗力而不能履行本合同,则该方应立即告知另一方，并在10日内(含本数)以书面方式正式通知另一方。该通知中应说明不可抗力的发生日期和预计持续的时间、事件性质、对该方履行本合同的影响及该方为减少不可抗力影响所采取的措施。</w:t>
      </w:r>
    </w:p>
    <w:p w14:paraId="5967171F">
      <w:pPr>
        <w:ind w:firstLine="420"/>
        <w:rPr>
          <w:highlight w:val="none"/>
        </w:rPr>
      </w:pPr>
      <w:r>
        <w:rPr>
          <w:rFonts w:hint="eastAsia"/>
          <w:highlight w:val="none"/>
          <w:lang w:eastAsia="zh-CN"/>
        </w:rPr>
        <w:t>19.</w:t>
      </w:r>
      <w:r>
        <w:rPr>
          <w:highlight w:val="none"/>
        </w:rPr>
        <w:t>4受不可抗力影响的一方或多方应采取合理措施,减少因不可抗力带来的损失。合同各方应及时协商制定并实施补救计划及合理的替代措施以减少或消除不可抗力的影响。</w:t>
      </w:r>
    </w:p>
    <w:p w14:paraId="7FCF6F4E">
      <w:pPr>
        <w:ind w:firstLine="420"/>
        <w:rPr>
          <w:highlight w:val="none"/>
        </w:rPr>
      </w:pPr>
      <w:r>
        <w:rPr>
          <w:rFonts w:hint="eastAsia"/>
          <w:highlight w:val="none"/>
          <w:lang w:eastAsia="zh-CN"/>
        </w:rPr>
        <w:t>19.</w:t>
      </w:r>
      <w:r>
        <w:rPr>
          <w:highlight w:val="none"/>
        </w:rPr>
        <w:t>5如果不可抗力阻碍受影响方履行义务持续超过120日(含本数)，合同各方应协商决定继续履行本合同的条款或终止本合同。</w:t>
      </w:r>
    </w:p>
    <w:p w14:paraId="6E6AB9F4">
      <w:pPr>
        <w:numPr>
          <w:ilvl w:val="0"/>
          <w:numId w:val="0"/>
        </w:numPr>
        <w:rPr>
          <w:highlight w:val="none"/>
        </w:rPr>
      </w:pPr>
      <w:r>
        <w:rPr>
          <w:rFonts w:hint="eastAsia"/>
          <w:highlight w:val="none"/>
          <w:lang w:eastAsia="zh-CN"/>
        </w:rPr>
        <w:t>19.</w:t>
      </w:r>
      <w:r>
        <w:rPr>
          <w:highlight w:val="none"/>
        </w:rPr>
        <w:t>6因政府行为、法律或国家政策发生重大变更，导致合同一方或</w:t>
      </w:r>
      <w:r>
        <w:rPr>
          <w:rFonts w:hint="eastAsia"/>
          <w:highlight w:val="none"/>
          <w:lang w:val="en-US" w:eastAsia="zh-CN"/>
        </w:rPr>
        <w:t>双</w:t>
      </w:r>
      <w:r>
        <w:rPr>
          <w:highlight w:val="none"/>
        </w:rPr>
        <w:t>方不能完成本合同项下的义务，合同各方应本着公平合理的原则尽快协商解决。必要时，签订合同修改变更协议。</w:t>
      </w:r>
    </w:p>
    <w:p w14:paraId="1F049A3A">
      <w:pPr>
        <w:pStyle w:val="2"/>
        <w:numPr>
          <w:ilvl w:val="0"/>
          <w:numId w:val="2"/>
        </w:numPr>
        <w:spacing w:before="156"/>
        <w:ind w:left="0" w:leftChars="0" w:firstLine="0" w:firstLineChars="0"/>
        <w:rPr>
          <w:rFonts w:hint="eastAsia"/>
          <w:highlight w:val="none"/>
        </w:rPr>
      </w:pPr>
      <w:r>
        <w:rPr>
          <w:rFonts w:hint="eastAsia"/>
          <w:highlight w:val="none"/>
        </w:rPr>
        <w:t>担保及保险</w:t>
      </w:r>
    </w:p>
    <w:p w14:paraId="788F1EAE">
      <w:pPr>
        <w:ind w:firstLine="420"/>
        <w:rPr>
          <w:highlight w:val="none"/>
        </w:rPr>
      </w:pPr>
      <w:r>
        <w:rPr>
          <w:rFonts w:hint="eastAsia"/>
          <w:highlight w:val="none"/>
          <w:lang w:eastAsia="zh-CN"/>
        </w:rPr>
        <w:t>20.</w:t>
      </w:r>
      <w:r>
        <w:rPr>
          <w:highlight w:val="none"/>
        </w:rPr>
        <w:t>1</w:t>
      </w:r>
      <w:r>
        <w:rPr>
          <w:rFonts w:hint="eastAsia"/>
          <w:highlight w:val="none"/>
        </w:rPr>
        <w:t>分包人</w:t>
      </w:r>
      <w:r>
        <w:rPr>
          <w:highlight w:val="none"/>
        </w:rPr>
        <w:t>是否提供履约担保:</w:t>
      </w:r>
      <w:sdt>
        <w:sdtPr>
          <w:rPr>
            <w:rFonts w:ascii="仿宋_GB2312" w:hAnsi="仿宋_GB2312" w:eastAsia="仿宋_GB2312" w:cs="仿宋_GB2312"/>
            <w:kern w:val="2"/>
            <w:sz w:val="21"/>
            <w:szCs w:val="21"/>
            <w:highlight w:val="none"/>
            <w:lang w:val="en-US" w:eastAsia="zh-CN" w:bidi="ar-SA"/>
          </w:rPr>
          <w:id w:val="147474547"/>
          <w:placeholder>
            <w:docPart w:val="{6f7a968c-f153-40d7-b9f1-a3fda4e23385}"/>
          </w:placeholder>
          <w:dataBinding w:xpath="/一闪流溢[1]/是否提供履约担保[1]" w:storeItemID="{34e2400a-2040-400b-8499-67bc057ee36d}"/>
          <w:text/>
        </w:sdtPr>
        <w:sdtEndPr>
          <w:rPr>
            <w:rFonts w:hint="eastAsia" w:ascii="仿宋_GB2312" w:hAnsi="仿宋_GB2312" w:eastAsia="仿宋_GB2312" w:cs="仿宋_GB2312"/>
            <w:kern w:val="2"/>
            <w:sz w:val="21"/>
            <w:szCs w:val="21"/>
            <w:highlight w:val="none"/>
            <w:u w:val="single"/>
            <w:lang w:val="en-US" w:eastAsia="zh-CN" w:bidi="ar-SA"/>
          </w:rPr>
        </w:sdtEndPr>
        <w:sdtContent>
          <w:r>
            <w:rPr>
              <w:rFonts w:hint="eastAsia"/>
              <w:highlight w:val="none"/>
              <w:u w:val="single"/>
              <w:lang w:eastAsia="zh-CN"/>
            </w:rPr>
            <w:t>否</w:t>
          </w:r>
        </w:sdtContent>
      </w:sdt>
      <w:r>
        <w:rPr>
          <w:rFonts w:hint="eastAsia"/>
          <w:highlight w:val="none"/>
        </w:rPr>
        <w:t>。</w:t>
      </w:r>
    </w:p>
    <w:p w14:paraId="57E3A9CD">
      <w:pPr>
        <w:ind w:firstLine="420"/>
        <w:rPr>
          <w:highlight w:val="none"/>
        </w:rPr>
      </w:pPr>
      <w:r>
        <w:rPr>
          <w:rFonts w:hint="eastAsia"/>
          <w:highlight w:val="none"/>
          <w:lang w:eastAsia="zh-CN"/>
        </w:rPr>
        <w:t>20.</w:t>
      </w:r>
      <w:r>
        <w:rPr>
          <w:highlight w:val="none"/>
        </w:rPr>
        <w:t>2</w:t>
      </w:r>
      <w:r>
        <w:rPr>
          <w:rFonts w:hint="eastAsia"/>
          <w:highlight w:val="none"/>
        </w:rPr>
        <w:t>分包人应在整个施工期间为其现场机构雇用的全部人员，自行购买人身意外伤害险，缴纳保险费（保额不得低于</w:t>
      </w:r>
      <w:sdt>
        <w:sdtPr>
          <w:rPr>
            <w:rFonts w:hint="eastAsia" w:ascii="仿宋_GB2312" w:hAnsi="仿宋_GB2312" w:eastAsia="仿宋_GB2312" w:cs="仿宋_GB2312"/>
            <w:kern w:val="2"/>
            <w:sz w:val="21"/>
            <w:szCs w:val="21"/>
            <w:highlight w:val="none"/>
            <w:lang w:val="en-US" w:eastAsia="zh-CN" w:bidi="ar-SA"/>
          </w:rPr>
          <w:id w:val="147473612"/>
          <w:placeholder>
            <w:docPart w:val="{0e0c9cc3-c0ed-4720-876d-d63b8381a92d}"/>
          </w:placeholder>
          <w:dataBinding w:xpath="/一闪流溢[1]/意外险保额[1]" w:storeItemID="{34e2400a-2040-400b-8499-67bc057ee36d}"/>
          <w:text/>
        </w:sdtPr>
        <w:sdtEndPr>
          <w:rPr>
            <w:rFonts w:hint="eastAsia" w:ascii="仿宋_GB2312" w:hAnsi="仿宋_GB2312" w:eastAsia="仿宋_GB2312" w:cs="仿宋_GB2312"/>
            <w:kern w:val="2"/>
            <w:sz w:val="21"/>
            <w:szCs w:val="21"/>
            <w:highlight w:val="none"/>
            <w:lang w:val="en-US" w:eastAsia="zh-CN" w:bidi="ar-SA"/>
          </w:rPr>
        </w:sdtEndPr>
        <w:sdtContent>
          <w:r>
            <w:rPr>
              <w:rFonts w:hint="eastAsia"/>
              <w:highlight w:val="none"/>
              <w:lang w:val="en-US" w:eastAsia="zh-CN"/>
            </w:rPr>
            <w:t xml:space="preserve">   万元</w:t>
          </w:r>
        </w:sdtContent>
      </w:sdt>
      <w:r>
        <w:rPr>
          <w:rFonts w:hint="eastAsia"/>
          <w:highlight w:val="none"/>
        </w:rPr>
        <w:t>/每人）。</w:t>
      </w:r>
    </w:p>
    <w:p w14:paraId="086C29FA">
      <w:pPr>
        <w:bidi w:val="0"/>
        <w:rPr>
          <w:highlight w:val="none"/>
        </w:rPr>
      </w:pPr>
      <w:bookmarkStart w:id="41" w:name="_Toc12219"/>
      <w:r>
        <w:rPr>
          <w:rFonts w:hint="eastAsia"/>
          <w:highlight w:val="none"/>
          <w:lang w:eastAsia="zh-CN"/>
        </w:rPr>
        <w:t>20.</w:t>
      </w:r>
      <w:r>
        <w:rPr>
          <w:rFonts w:hint="eastAsia"/>
          <w:highlight w:val="none"/>
        </w:rPr>
        <w:t>3</w:t>
      </w:r>
      <w:r>
        <w:rPr>
          <w:highlight w:val="none"/>
        </w:rPr>
        <w:t>其他:</w:t>
      </w:r>
      <w:r>
        <w:rPr>
          <w:rFonts w:hint="eastAsia"/>
          <w:highlight w:val="none"/>
          <w:u w:val="single"/>
        </w:rPr>
        <w:t xml:space="preserve"> / </w:t>
      </w:r>
      <w:r>
        <w:rPr>
          <w:rFonts w:hint="eastAsia"/>
          <w:highlight w:val="none"/>
        </w:rPr>
        <w:t>。</w:t>
      </w:r>
      <w:bookmarkEnd w:id="41"/>
    </w:p>
    <w:p w14:paraId="62E4D2DC">
      <w:pPr>
        <w:pStyle w:val="2"/>
        <w:numPr>
          <w:ilvl w:val="0"/>
          <w:numId w:val="2"/>
        </w:numPr>
        <w:spacing w:before="156"/>
        <w:ind w:left="0" w:leftChars="0" w:firstLine="0" w:firstLineChars="0"/>
        <w:rPr>
          <w:highlight w:val="none"/>
        </w:rPr>
      </w:pPr>
      <w:bookmarkStart w:id="42" w:name="_Toc26454"/>
      <w:r>
        <w:rPr>
          <w:highlight w:val="none"/>
        </w:rPr>
        <w:t>争议解决方式</w:t>
      </w:r>
      <w:bookmarkEnd w:id="42"/>
    </w:p>
    <w:p w14:paraId="2C542F95">
      <w:pPr>
        <w:ind w:firstLine="420"/>
        <w:rPr>
          <w:highlight w:val="none"/>
        </w:rPr>
      </w:pPr>
      <w:r>
        <w:rPr>
          <w:rFonts w:hint="eastAsia"/>
          <w:highlight w:val="none"/>
          <w:lang w:eastAsia="zh-CN"/>
        </w:rPr>
        <w:t>21.</w:t>
      </w:r>
      <w:r>
        <w:rPr>
          <w:highlight w:val="none"/>
        </w:rPr>
        <w:t>1因合同及合同有关事项发生的争议，双方应本着诚实信用原则，通过友好协商解决，经协商仍无法达成一致的，按以下第</w:t>
      </w:r>
      <w:r>
        <w:rPr>
          <w:rFonts w:hint="eastAsia"/>
          <w:highlight w:val="none"/>
        </w:rPr>
        <w:t>1</w:t>
      </w:r>
      <w:r>
        <w:rPr>
          <w:highlight w:val="none"/>
        </w:rPr>
        <w:t>种方式处理:</w:t>
      </w:r>
    </w:p>
    <w:p w14:paraId="5B8AADD2">
      <w:pPr>
        <w:ind w:firstLine="420"/>
        <w:rPr>
          <w:highlight w:val="none"/>
        </w:rPr>
      </w:pPr>
      <w:r>
        <w:rPr>
          <w:highlight w:val="none"/>
        </w:rPr>
        <w:t>(1)仲裁:凡因本合同引起的或与本合同有关的任何争议，应</w:t>
      </w:r>
      <w:r>
        <w:rPr>
          <w:rFonts w:hint="eastAsia"/>
          <w:highlight w:val="none"/>
        </w:rPr>
        <w:t>向</w:t>
      </w:r>
      <w:r>
        <w:rPr>
          <w:highlight w:val="none"/>
        </w:rPr>
        <w:t>提交</w:t>
      </w:r>
      <w:r>
        <w:rPr>
          <w:rFonts w:hint="eastAsia"/>
          <w:highlight w:val="none"/>
        </w:rPr>
        <w:t>甲方所在地</w:t>
      </w:r>
      <w:r>
        <w:rPr>
          <w:highlight w:val="none"/>
        </w:rPr>
        <w:t>仲裁委员会按照该会仲裁规则进行仲裁。仲裁裁决是终局的，对双方均有约束力。</w:t>
      </w:r>
    </w:p>
    <w:p w14:paraId="3B7886C8">
      <w:pPr>
        <w:ind w:firstLine="420"/>
        <w:rPr>
          <w:highlight w:val="none"/>
        </w:rPr>
      </w:pPr>
      <w:r>
        <w:rPr>
          <w:highlight w:val="none"/>
        </w:rPr>
        <w:t>(2)诉讼:向工程所在地人民法院提起诉讼。</w:t>
      </w:r>
    </w:p>
    <w:p w14:paraId="21814D18">
      <w:pPr>
        <w:bidi w:val="0"/>
        <w:rPr>
          <w:highlight w:val="none"/>
        </w:rPr>
      </w:pPr>
      <w:bookmarkStart w:id="43" w:name="_Toc23712"/>
      <w:r>
        <w:rPr>
          <w:rFonts w:hint="eastAsia"/>
          <w:highlight w:val="none"/>
          <w:lang w:eastAsia="zh-CN"/>
        </w:rPr>
        <w:t>21.</w:t>
      </w:r>
      <w:r>
        <w:rPr>
          <w:highlight w:val="none"/>
        </w:rPr>
        <w:t>2在争议解决期间，合同中未涉及争议部分的条款仍须履行。</w:t>
      </w:r>
      <w:bookmarkEnd w:id="43"/>
    </w:p>
    <w:p w14:paraId="7FA2E00E">
      <w:pPr>
        <w:pStyle w:val="2"/>
        <w:numPr>
          <w:ilvl w:val="0"/>
          <w:numId w:val="2"/>
        </w:numPr>
        <w:spacing w:before="156"/>
        <w:ind w:left="0" w:leftChars="0" w:firstLine="0" w:firstLineChars="0"/>
        <w:rPr>
          <w:highlight w:val="none"/>
        </w:rPr>
      </w:pPr>
      <w:bookmarkStart w:id="44" w:name="_Toc20726"/>
      <w:r>
        <w:rPr>
          <w:highlight w:val="none"/>
        </w:rPr>
        <w:t>适用法律</w:t>
      </w:r>
      <w:bookmarkEnd w:id="44"/>
    </w:p>
    <w:p w14:paraId="267A795E">
      <w:pPr>
        <w:ind w:firstLine="420"/>
        <w:rPr>
          <w:highlight w:val="none"/>
        </w:rPr>
      </w:pPr>
      <w:r>
        <w:rPr>
          <w:highlight w:val="none"/>
        </w:rPr>
        <w:t>本合同的订立、解释、履行及争议解决，均适用中华人民共和国法律。</w:t>
      </w:r>
    </w:p>
    <w:p w14:paraId="438ED481">
      <w:pPr>
        <w:pStyle w:val="2"/>
        <w:numPr>
          <w:ilvl w:val="0"/>
          <w:numId w:val="2"/>
        </w:numPr>
        <w:spacing w:before="156"/>
        <w:ind w:left="0" w:leftChars="0" w:firstLine="0" w:firstLineChars="0"/>
        <w:rPr>
          <w:highlight w:val="none"/>
        </w:rPr>
      </w:pPr>
      <w:bookmarkStart w:id="45" w:name="_Toc8902"/>
      <w:r>
        <w:rPr>
          <w:highlight w:val="none"/>
        </w:rPr>
        <w:t>合同的生效</w:t>
      </w:r>
      <w:bookmarkEnd w:id="45"/>
    </w:p>
    <w:p w14:paraId="597B2C08">
      <w:pPr>
        <w:ind w:firstLine="420"/>
        <w:rPr>
          <w:highlight w:val="none"/>
        </w:rPr>
      </w:pPr>
      <w:r>
        <w:rPr>
          <w:highlight w:val="none"/>
        </w:rPr>
        <w:t>本合同在以下条件全部满足之日生效:</w:t>
      </w:r>
    </w:p>
    <w:p w14:paraId="65552092">
      <w:pPr>
        <w:ind w:firstLine="420"/>
        <w:rPr>
          <w:highlight w:val="none"/>
        </w:rPr>
      </w:pPr>
      <w:r>
        <w:rPr>
          <w:highlight w:val="none"/>
        </w:rPr>
        <w:t>本合同经双方法定代表人(负责人)或其授权代表签署并加盖双方公章或合同专用章之日起生效。合同签订日期以双方中最后一方签署并加盖公章或合同专用章的日期为准。</w:t>
      </w:r>
    </w:p>
    <w:p w14:paraId="0DCF6FF0">
      <w:pPr>
        <w:ind w:firstLine="420"/>
        <w:rPr>
          <w:highlight w:val="none"/>
        </w:rPr>
      </w:pPr>
      <w:r>
        <w:rPr>
          <w:highlight w:val="none"/>
        </w:rPr>
        <w:t>本合同一式</w:t>
      </w:r>
      <w:r>
        <w:rPr>
          <w:rFonts w:hint="eastAsia"/>
          <w:highlight w:val="none"/>
        </w:rPr>
        <w:t>肆</w:t>
      </w:r>
      <w:r>
        <w:rPr>
          <w:highlight w:val="none"/>
        </w:rPr>
        <w:t>份，发包人执</w:t>
      </w:r>
      <w:r>
        <w:rPr>
          <w:rFonts w:hint="eastAsia"/>
          <w:highlight w:val="none"/>
        </w:rPr>
        <w:t>贰</w:t>
      </w:r>
      <w:r>
        <w:rPr>
          <w:highlight w:val="none"/>
        </w:rPr>
        <w:t>份，</w:t>
      </w:r>
      <w:r>
        <w:rPr>
          <w:rFonts w:hint="eastAsia"/>
          <w:highlight w:val="none"/>
        </w:rPr>
        <w:t>分包人</w:t>
      </w:r>
      <w:r>
        <w:rPr>
          <w:highlight w:val="none"/>
        </w:rPr>
        <w:t>执</w:t>
      </w:r>
      <w:r>
        <w:rPr>
          <w:rFonts w:hint="eastAsia"/>
          <w:highlight w:val="none"/>
        </w:rPr>
        <w:t>贰</w:t>
      </w:r>
      <w:r>
        <w:rPr>
          <w:highlight w:val="none"/>
        </w:rPr>
        <w:t>份，各份具有同等法律效力</w:t>
      </w:r>
      <w:r>
        <w:rPr>
          <w:rFonts w:hint="eastAsia"/>
          <w:highlight w:val="none"/>
        </w:rPr>
        <w:t>,</w:t>
      </w:r>
      <w:r>
        <w:rPr>
          <w:highlight w:val="none"/>
        </w:rPr>
        <w:t>本合同附件是本合同不可分割的组成部分，与本合同正文具有同等法律效力。</w:t>
      </w:r>
    </w:p>
    <w:p w14:paraId="6A05F711">
      <w:pPr>
        <w:pStyle w:val="2"/>
        <w:numPr>
          <w:ilvl w:val="0"/>
          <w:numId w:val="2"/>
        </w:numPr>
        <w:spacing w:before="156"/>
        <w:ind w:left="0" w:leftChars="0" w:firstLine="0" w:firstLineChars="0"/>
        <w:rPr>
          <w:highlight w:val="none"/>
        </w:rPr>
      </w:pPr>
      <w:bookmarkStart w:id="46" w:name="_Toc24202"/>
      <w:r>
        <w:rPr>
          <w:highlight w:val="none"/>
        </w:rPr>
        <w:t>其他事项</w:t>
      </w:r>
      <w:bookmarkEnd w:id="46"/>
    </w:p>
    <w:p w14:paraId="01E43FD0">
      <w:pPr>
        <w:ind w:firstLine="420"/>
        <w:rPr>
          <w:highlight w:val="none"/>
        </w:rPr>
      </w:pPr>
      <w:r>
        <w:rPr>
          <w:rFonts w:hint="eastAsia"/>
          <w:highlight w:val="none"/>
        </w:rPr>
        <w:t>2</w:t>
      </w:r>
      <w:r>
        <w:rPr>
          <w:rFonts w:hint="eastAsia"/>
          <w:highlight w:val="none"/>
          <w:lang w:val="en-US" w:eastAsia="zh-CN"/>
        </w:rPr>
        <w:t>4</w:t>
      </w:r>
      <w:r>
        <w:rPr>
          <w:highlight w:val="none"/>
        </w:rPr>
        <w:t>.1如有未尽事项，双方可另签订补充协议。</w:t>
      </w:r>
    </w:p>
    <w:p w14:paraId="2C70D2F9">
      <w:pPr>
        <w:ind w:firstLine="420"/>
        <w:rPr>
          <w:color w:val="E54C5E" w:themeColor="accent6"/>
          <w:highlight w:val="none"/>
          <w14:textFill>
            <w14:solidFill>
              <w14:schemeClr w14:val="accent6"/>
            </w14:solidFill>
          </w14:textFill>
        </w:rPr>
      </w:pPr>
      <w:r>
        <w:rPr>
          <w:rFonts w:hint="eastAsia"/>
          <w:highlight w:val="none"/>
        </w:rPr>
        <w:t>2</w:t>
      </w:r>
      <w:r>
        <w:rPr>
          <w:rFonts w:hint="eastAsia"/>
          <w:highlight w:val="none"/>
          <w:lang w:val="en-US" w:eastAsia="zh-CN"/>
        </w:rPr>
        <w:t>4</w:t>
      </w:r>
      <w:r>
        <w:rPr>
          <w:rFonts w:hint="eastAsia"/>
          <w:highlight w:val="none"/>
        </w:rPr>
        <w:t>.</w:t>
      </w:r>
      <w:r>
        <w:rPr>
          <w:highlight w:val="none"/>
        </w:rPr>
        <w:t>2本合同双方应同时签订安全协议</w:t>
      </w:r>
      <w:r>
        <w:rPr>
          <w:color w:val="E54C5E" w:themeColor="accent6"/>
          <w:highlight w:val="none"/>
          <w14:textFill>
            <w14:solidFill>
              <w14:schemeClr w14:val="accent6"/>
            </w14:solidFill>
          </w14:textFill>
        </w:rPr>
        <w:t>。</w:t>
      </w:r>
    </w:p>
    <w:p w14:paraId="7F5A6E13">
      <w:pPr>
        <w:spacing w:before="156" w:beforeLines="50" w:after="312" w:afterLines="100" w:line="360" w:lineRule="auto"/>
        <w:ind w:firstLine="0" w:firstLineChars="0"/>
        <w:jc w:val="center"/>
        <w:rPr>
          <w:rFonts w:ascii="黑体" w:hAnsi="黑体" w:eastAsia="黑体" w:cs="黑体"/>
          <w:b/>
          <w:bCs/>
          <w:sz w:val="44"/>
          <w:szCs w:val="44"/>
          <w:highlight w:val="none"/>
        </w:rPr>
        <w:sectPr>
          <w:footerReference r:id="rId5" w:type="default"/>
          <w:pgSz w:w="11906" w:h="16838"/>
          <w:pgMar w:top="1440" w:right="1800" w:bottom="1440" w:left="1800" w:header="851" w:footer="992" w:gutter="0"/>
          <w:pgNumType w:fmt="decimal" w:start="1"/>
          <w:cols w:space="425" w:num="1"/>
          <w:docGrid w:type="lines" w:linePitch="312" w:charSpace="0"/>
        </w:sectPr>
      </w:pPr>
    </w:p>
    <w:p w14:paraId="4B3DDB05">
      <w:pPr>
        <w:spacing w:before="156" w:beforeLines="50" w:after="312" w:afterLines="100" w:line="360" w:lineRule="auto"/>
        <w:ind w:firstLine="0" w:firstLineChars="0"/>
        <w:jc w:val="center"/>
        <w:rPr>
          <w:rFonts w:hint="eastAsia" w:ascii="黑体" w:hAnsi="黑体" w:eastAsia="黑体" w:cs="黑体"/>
          <w:b/>
          <w:bCs/>
          <w:sz w:val="44"/>
          <w:szCs w:val="44"/>
          <w:highlight w:val="none"/>
        </w:rPr>
      </w:pPr>
      <w:r>
        <w:rPr>
          <w:rFonts w:hint="eastAsia" w:ascii="黑体" w:hAnsi="黑体" w:eastAsia="黑体" w:cs="黑体"/>
          <w:b/>
          <w:bCs/>
          <w:sz w:val="44"/>
          <w:szCs w:val="44"/>
          <w:highlight w:val="none"/>
        </w:rPr>
        <w:t>签署页</w:t>
      </w:r>
    </w:p>
    <w:tbl>
      <w:tblPr>
        <w:tblStyle w:val="14"/>
        <w:tblW w:w="0" w:type="auto"/>
        <w:jc w:val="center"/>
        <w:tblLayout w:type="autofit"/>
        <w:tblCellMar>
          <w:top w:w="0" w:type="dxa"/>
          <w:left w:w="108" w:type="dxa"/>
          <w:bottom w:w="0" w:type="dxa"/>
          <w:right w:w="108" w:type="dxa"/>
        </w:tblCellMar>
      </w:tblPr>
      <w:tblGrid>
        <w:gridCol w:w="4148"/>
        <w:gridCol w:w="4148"/>
      </w:tblGrid>
      <w:tr w14:paraId="055A72E9">
        <w:tblPrEx>
          <w:tblCellMar>
            <w:top w:w="0" w:type="dxa"/>
            <w:left w:w="108" w:type="dxa"/>
            <w:bottom w:w="0" w:type="dxa"/>
            <w:right w:w="108" w:type="dxa"/>
          </w:tblCellMar>
        </w:tblPrEx>
        <w:trPr>
          <w:trHeight w:val="850" w:hRule="exact"/>
          <w:jc w:val="center"/>
        </w:trPr>
        <w:tc>
          <w:tcPr>
            <w:tcW w:w="4148" w:type="dxa"/>
            <w:vAlign w:val="top"/>
          </w:tcPr>
          <w:p w14:paraId="457C2361">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发包人（单位名称并盖章）：</w:t>
            </w:r>
          </w:p>
        </w:tc>
        <w:tc>
          <w:tcPr>
            <w:tcW w:w="4148" w:type="dxa"/>
            <w:vAlign w:val="top"/>
          </w:tcPr>
          <w:p w14:paraId="76517221">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分包人（单位名称并盖章）：</w:t>
            </w:r>
          </w:p>
        </w:tc>
      </w:tr>
      <w:tr w14:paraId="51EFB9FD">
        <w:tblPrEx>
          <w:tblCellMar>
            <w:top w:w="0" w:type="dxa"/>
            <w:left w:w="108" w:type="dxa"/>
            <w:bottom w:w="0" w:type="dxa"/>
            <w:right w:w="108" w:type="dxa"/>
          </w:tblCellMar>
        </w:tblPrEx>
        <w:trPr>
          <w:trHeight w:val="850" w:hRule="exact"/>
          <w:jc w:val="center"/>
        </w:trPr>
        <w:tc>
          <w:tcPr>
            <w:tcW w:w="4148" w:type="dxa"/>
            <w:vAlign w:val="top"/>
          </w:tcPr>
          <w:p w14:paraId="5986FC25">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住所（地址）：</w:t>
            </w:r>
          </w:p>
        </w:tc>
        <w:tc>
          <w:tcPr>
            <w:tcW w:w="4148" w:type="dxa"/>
            <w:vAlign w:val="top"/>
          </w:tcPr>
          <w:p w14:paraId="456593D7">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住所（地址）：</w:t>
            </w:r>
          </w:p>
        </w:tc>
      </w:tr>
      <w:tr w14:paraId="18BE0CD3">
        <w:tblPrEx>
          <w:tblCellMar>
            <w:top w:w="0" w:type="dxa"/>
            <w:left w:w="108" w:type="dxa"/>
            <w:bottom w:w="0" w:type="dxa"/>
            <w:right w:w="108" w:type="dxa"/>
          </w:tblCellMar>
        </w:tblPrEx>
        <w:trPr>
          <w:trHeight w:val="1458" w:hRule="exact"/>
          <w:jc w:val="center"/>
        </w:trPr>
        <w:tc>
          <w:tcPr>
            <w:tcW w:w="4148" w:type="dxa"/>
            <w:vAlign w:val="top"/>
          </w:tcPr>
          <w:p w14:paraId="217A4BDC">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法定代表人（或授权代理人）：</w:t>
            </w:r>
          </w:p>
        </w:tc>
        <w:tc>
          <w:tcPr>
            <w:tcW w:w="4148" w:type="dxa"/>
            <w:vAlign w:val="top"/>
          </w:tcPr>
          <w:p w14:paraId="31EC3BF7">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法定代表人（或授权代理人）：</w:t>
            </w:r>
          </w:p>
        </w:tc>
      </w:tr>
      <w:tr w14:paraId="319B1CEB">
        <w:tblPrEx>
          <w:tblCellMar>
            <w:top w:w="0" w:type="dxa"/>
            <w:left w:w="108" w:type="dxa"/>
            <w:bottom w:w="0" w:type="dxa"/>
            <w:right w:w="108" w:type="dxa"/>
          </w:tblCellMar>
        </w:tblPrEx>
        <w:trPr>
          <w:trHeight w:val="850" w:hRule="exact"/>
          <w:jc w:val="center"/>
        </w:trPr>
        <w:tc>
          <w:tcPr>
            <w:tcW w:w="4148" w:type="dxa"/>
            <w:vAlign w:val="top"/>
          </w:tcPr>
          <w:p w14:paraId="45AF6F85">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电话：</w:t>
            </w:r>
          </w:p>
        </w:tc>
        <w:tc>
          <w:tcPr>
            <w:tcW w:w="4148" w:type="dxa"/>
            <w:vAlign w:val="top"/>
          </w:tcPr>
          <w:p w14:paraId="40C4A75A">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电话：</w:t>
            </w:r>
          </w:p>
        </w:tc>
      </w:tr>
      <w:tr w14:paraId="7FC6F1C1">
        <w:tblPrEx>
          <w:tblCellMar>
            <w:top w:w="0" w:type="dxa"/>
            <w:left w:w="108" w:type="dxa"/>
            <w:bottom w:w="0" w:type="dxa"/>
            <w:right w:w="108" w:type="dxa"/>
          </w:tblCellMar>
        </w:tblPrEx>
        <w:trPr>
          <w:trHeight w:val="842" w:hRule="exact"/>
          <w:jc w:val="center"/>
        </w:trPr>
        <w:tc>
          <w:tcPr>
            <w:tcW w:w="4148" w:type="dxa"/>
            <w:vAlign w:val="top"/>
          </w:tcPr>
          <w:p w14:paraId="6DA130B3">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开户行：</w:t>
            </w:r>
          </w:p>
        </w:tc>
        <w:tc>
          <w:tcPr>
            <w:tcW w:w="4148" w:type="dxa"/>
            <w:vAlign w:val="top"/>
          </w:tcPr>
          <w:p w14:paraId="067268A6">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开户行：</w:t>
            </w:r>
          </w:p>
        </w:tc>
      </w:tr>
      <w:tr w14:paraId="64580A01">
        <w:tblPrEx>
          <w:tblCellMar>
            <w:top w:w="0" w:type="dxa"/>
            <w:left w:w="108" w:type="dxa"/>
            <w:bottom w:w="0" w:type="dxa"/>
            <w:right w:w="108" w:type="dxa"/>
          </w:tblCellMar>
        </w:tblPrEx>
        <w:trPr>
          <w:trHeight w:val="842" w:hRule="exact"/>
          <w:jc w:val="center"/>
        </w:trPr>
        <w:tc>
          <w:tcPr>
            <w:tcW w:w="4148" w:type="dxa"/>
            <w:vAlign w:val="top"/>
          </w:tcPr>
          <w:p w14:paraId="014C839A">
            <w:pPr>
              <w:tabs>
                <w:tab w:val="left" w:pos="4830"/>
              </w:tabs>
              <w:ind w:firstLine="0" w:firstLineChars="0"/>
              <w:rPr>
                <w:rFonts w:hint="default" w:cs="仿宋_GB2312"/>
                <w:kern w:val="2"/>
                <w:sz w:val="21"/>
                <w:szCs w:val="21"/>
                <w:highlight w:val="none"/>
                <w:lang w:val="en-US" w:eastAsia="zh-CN" w:bidi="ar-SA"/>
              </w:rPr>
            </w:pPr>
            <w:r>
              <w:rPr>
                <w:rFonts w:hint="eastAsia" w:cs="仿宋_GB2312"/>
                <w:kern w:val="2"/>
                <w:sz w:val="21"/>
                <w:szCs w:val="21"/>
                <w:highlight w:val="none"/>
                <w:lang w:val="en-US" w:eastAsia="zh-CN" w:bidi="ar-SA"/>
              </w:rPr>
              <w:t>账号：</w:t>
            </w:r>
          </w:p>
        </w:tc>
        <w:tc>
          <w:tcPr>
            <w:tcW w:w="4148" w:type="dxa"/>
            <w:vAlign w:val="top"/>
          </w:tcPr>
          <w:p w14:paraId="54A2F6E8">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账号：</w:t>
            </w:r>
          </w:p>
        </w:tc>
      </w:tr>
      <w:tr w14:paraId="6E7175B9">
        <w:tblPrEx>
          <w:tblCellMar>
            <w:top w:w="0" w:type="dxa"/>
            <w:left w:w="108" w:type="dxa"/>
            <w:bottom w:w="0" w:type="dxa"/>
            <w:right w:w="108" w:type="dxa"/>
          </w:tblCellMar>
        </w:tblPrEx>
        <w:trPr>
          <w:trHeight w:val="850" w:hRule="exact"/>
          <w:jc w:val="center"/>
        </w:trPr>
        <w:tc>
          <w:tcPr>
            <w:tcW w:w="4148" w:type="dxa"/>
            <w:vAlign w:val="top"/>
          </w:tcPr>
          <w:p w14:paraId="7A1107CA">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签订日期：</w:t>
            </w:r>
            <w:sdt>
              <w:sdtPr>
                <w:rPr>
                  <w:rFonts w:hint="eastAsia" w:ascii="仿宋_GB2312" w:hAnsi="仿宋_GB2312" w:eastAsia="仿宋_GB2312" w:cs="仿宋_GB2312"/>
                  <w:kern w:val="2"/>
                  <w:sz w:val="21"/>
                  <w:szCs w:val="21"/>
                  <w:highlight w:val="none"/>
                  <w:lang w:val="en-US" w:eastAsia="zh-CN" w:bidi="ar-SA"/>
                </w:rPr>
                <w:id w:val="147473190"/>
                <w:placeholder>
                  <w:docPart w:val="{853aebd6-c0c7-46c7-b3a2-a7d59dcd85a5}"/>
                </w:placeholder>
                <w:dataBinding w:xpath="/一闪流溢[1]/签约时间[1]" w:storeItemID="{34e2400a-2040-400b-8499-67bc057ee36d}"/>
                <w:text/>
              </w:sdtPr>
              <w:sdtEndPr>
                <w:rPr>
                  <w:rFonts w:hint="eastAsia" w:ascii="仿宋_GB2312" w:hAnsi="仿宋_GB2312" w:eastAsia="仿宋_GB2312" w:cs="仿宋_GB2312"/>
                  <w:kern w:val="2"/>
                  <w:sz w:val="21"/>
                  <w:szCs w:val="21"/>
                  <w:highlight w:val="none"/>
                  <w:lang w:val="en-US" w:eastAsia="zh-CN" w:bidi="ar-SA"/>
                </w:rPr>
              </w:sdtEndPr>
              <w:sdtContent>
                <w:r>
                  <w:rPr>
                    <w:rFonts w:hint="eastAsia" w:cs="仿宋_GB2312"/>
                    <w:kern w:val="2"/>
                    <w:sz w:val="21"/>
                    <w:szCs w:val="21"/>
                    <w:highlight w:val="none"/>
                    <w:lang w:val="en-US" w:eastAsia="zh-CN" w:bidi="ar-SA"/>
                  </w:rPr>
                  <w:t xml:space="preserve">    年    月   日</w:t>
                </w:r>
              </w:sdtContent>
            </w:sdt>
          </w:p>
        </w:tc>
        <w:tc>
          <w:tcPr>
            <w:tcW w:w="4148" w:type="dxa"/>
            <w:vAlign w:val="top"/>
          </w:tcPr>
          <w:p w14:paraId="2EA131CA">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签订日期：</w:t>
            </w:r>
            <w:sdt>
              <w:sdtPr>
                <w:rPr>
                  <w:rFonts w:hint="eastAsia" w:ascii="仿宋_GB2312" w:hAnsi="仿宋_GB2312" w:eastAsia="仿宋_GB2312" w:cs="仿宋_GB2312"/>
                  <w:kern w:val="2"/>
                  <w:sz w:val="21"/>
                  <w:szCs w:val="21"/>
                  <w:highlight w:val="none"/>
                  <w:lang w:val="en-US" w:eastAsia="zh-CN" w:bidi="ar-SA"/>
                </w:rPr>
                <w:id w:val="147473177"/>
                <w:placeholder>
                  <w:docPart w:val="{62e28580-9bcf-44b3-a791-1a5ad925047b}"/>
                </w:placeholder>
                <w:dataBinding w:xpath="/一闪流溢[1]/签约时间[1]" w:storeItemID="{34e2400a-2040-400b-8499-67bc057ee36d}"/>
                <w:text/>
              </w:sdtPr>
              <w:sdtEndPr>
                <w:rPr>
                  <w:rFonts w:hint="eastAsia" w:ascii="仿宋_GB2312" w:hAnsi="仿宋_GB2312" w:eastAsia="仿宋_GB2312" w:cs="仿宋_GB2312"/>
                  <w:kern w:val="2"/>
                  <w:sz w:val="21"/>
                  <w:szCs w:val="21"/>
                  <w:highlight w:val="none"/>
                  <w:lang w:val="en-US" w:eastAsia="zh-CN" w:bidi="ar-SA"/>
                </w:rPr>
              </w:sdtEndPr>
              <w:sdtContent>
                <w:r>
                  <w:rPr>
                    <w:rFonts w:hint="eastAsia" w:cs="仿宋_GB2312"/>
                    <w:kern w:val="2"/>
                    <w:sz w:val="21"/>
                    <w:szCs w:val="21"/>
                    <w:highlight w:val="none"/>
                    <w:lang w:val="en-US" w:eastAsia="zh-CN" w:bidi="ar-SA"/>
                  </w:rPr>
                  <w:t xml:space="preserve">    年    月   日</w:t>
                </w:r>
              </w:sdtContent>
            </w:sdt>
          </w:p>
        </w:tc>
      </w:tr>
      <w:tr w14:paraId="2A0C82A9">
        <w:tblPrEx>
          <w:tblCellMar>
            <w:top w:w="0" w:type="dxa"/>
            <w:left w:w="108" w:type="dxa"/>
            <w:bottom w:w="0" w:type="dxa"/>
            <w:right w:w="108" w:type="dxa"/>
          </w:tblCellMar>
        </w:tblPrEx>
        <w:trPr>
          <w:trHeight w:val="340" w:hRule="atLeast"/>
          <w:jc w:val="center"/>
        </w:trPr>
        <w:tc>
          <w:tcPr>
            <w:tcW w:w="8296" w:type="dxa"/>
            <w:gridSpan w:val="2"/>
          </w:tcPr>
          <w:p w14:paraId="148B8252">
            <w:pPr>
              <w:tabs>
                <w:tab w:val="left" w:pos="4830"/>
              </w:tabs>
              <w:ind w:firstLine="0" w:firstLineChars="0"/>
              <w:rPr>
                <w:rFonts w:hint="eastAsia" w:cs="仿宋_GB2312"/>
                <w:kern w:val="2"/>
                <w:sz w:val="21"/>
                <w:szCs w:val="21"/>
                <w:highlight w:val="none"/>
                <w:lang w:val="en-US" w:eastAsia="zh-CN" w:bidi="ar-SA"/>
              </w:rPr>
            </w:pPr>
          </w:p>
        </w:tc>
      </w:tr>
    </w:tbl>
    <w:p w14:paraId="0CEC0410">
      <w:pPr>
        <w:spacing w:before="156" w:beforeLines="50" w:after="312" w:afterLines="100" w:line="360" w:lineRule="auto"/>
        <w:ind w:firstLine="0" w:firstLineChars="0"/>
        <w:jc w:val="center"/>
        <w:rPr>
          <w:rFonts w:hint="eastAsia" w:ascii="黑体" w:hAnsi="黑体" w:eastAsia="黑体" w:cs="黑体"/>
          <w:b/>
          <w:bCs/>
          <w:sz w:val="44"/>
          <w:szCs w:val="44"/>
          <w:highlight w:val="none"/>
        </w:rPr>
      </w:pPr>
    </w:p>
    <w:p w14:paraId="578B4E54">
      <w:pPr>
        <w:ind w:firstLine="420"/>
        <w:rPr>
          <w:highlight w:val="none"/>
        </w:rPr>
        <w:sectPr>
          <w:pgSz w:w="11906" w:h="16838"/>
          <w:pgMar w:top="1440" w:right="1800" w:bottom="1440" w:left="1800" w:header="851" w:footer="992" w:gutter="0"/>
          <w:pgNumType w:fmt="decimal"/>
          <w:cols w:space="425" w:num="1"/>
          <w:docGrid w:type="lines" w:linePitch="312" w:charSpace="0"/>
        </w:sectPr>
      </w:pPr>
    </w:p>
    <w:p w14:paraId="1648E108">
      <w:pPr>
        <w:pStyle w:val="2"/>
        <w:spacing w:before="156"/>
        <w:rPr>
          <w:highlight w:val="none"/>
        </w:rPr>
      </w:pPr>
      <w:bookmarkStart w:id="47" w:name="_Toc18164"/>
      <w:r>
        <w:rPr>
          <w:rFonts w:hint="eastAsia"/>
          <w:highlight w:val="none"/>
        </w:rPr>
        <w:t>2</w:t>
      </w:r>
      <w:r>
        <w:rPr>
          <w:rFonts w:hint="eastAsia"/>
          <w:highlight w:val="none"/>
          <w:lang w:val="en-US" w:eastAsia="zh-CN"/>
        </w:rPr>
        <w:t>5</w:t>
      </w:r>
      <w:r>
        <w:rPr>
          <w:rFonts w:hint="eastAsia"/>
          <w:highlight w:val="none"/>
        </w:rPr>
        <w:t>.</w:t>
      </w:r>
      <w:r>
        <w:rPr>
          <w:highlight w:val="none"/>
        </w:rPr>
        <w:t>附件:</w:t>
      </w:r>
      <w:bookmarkEnd w:id="47"/>
    </w:p>
    <w:p w14:paraId="04EDB4B2">
      <w:pPr>
        <w:pStyle w:val="4"/>
        <w:ind w:firstLine="420"/>
        <w:rPr>
          <w:highlight w:val="none"/>
        </w:rPr>
      </w:pPr>
      <w:r>
        <w:rPr>
          <w:highlight w:val="none"/>
        </w:rPr>
        <w:t>附件1:</w:t>
      </w:r>
      <w:r>
        <w:rPr>
          <w:rFonts w:hint="eastAsia"/>
          <w:highlight w:val="none"/>
          <w:lang w:val="en-US" w:eastAsia="zh-CN"/>
        </w:rPr>
        <w:t>报价</w:t>
      </w:r>
      <w:r>
        <w:rPr>
          <w:highlight w:val="none"/>
        </w:rPr>
        <w:t>表</w:t>
      </w:r>
    </w:p>
    <w:p w14:paraId="2E39BA67">
      <w:pPr>
        <w:pStyle w:val="4"/>
        <w:ind w:firstLine="420"/>
        <w:rPr>
          <w:highlight w:val="none"/>
        </w:rPr>
      </w:pPr>
      <w:r>
        <w:rPr>
          <w:highlight w:val="none"/>
        </w:rPr>
        <w:t>附件2:发包人供应主要材料和工程设备清单</w:t>
      </w:r>
    </w:p>
    <w:p w14:paraId="77B0BB8F">
      <w:pPr>
        <w:pStyle w:val="4"/>
        <w:ind w:firstLine="420"/>
        <w:rPr>
          <w:highlight w:val="none"/>
        </w:rPr>
      </w:pPr>
      <w:r>
        <w:rPr>
          <w:highlight w:val="none"/>
        </w:rPr>
        <w:t>附件</w:t>
      </w:r>
      <w:r>
        <w:rPr>
          <w:rFonts w:hint="eastAsia"/>
          <w:highlight w:val="none"/>
        </w:rPr>
        <w:t>3</w:t>
      </w:r>
      <w:r>
        <w:rPr>
          <w:highlight w:val="none"/>
        </w:rPr>
        <w:t>:安全协议</w:t>
      </w:r>
    </w:p>
    <w:p w14:paraId="52185B5A">
      <w:pPr>
        <w:pStyle w:val="4"/>
        <w:ind w:firstLine="420"/>
        <w:rPr>
          <w:highlight w:val="none"/>
        </w:rPr>
        <w:sectPr>
          <w:pgSz w:w="11906" w:h="16838"/>
          <w:pgMar w:top="1440" w:right="1800" w:bottom="1440" w:left="1800" w:header="851" w:footer="992" w:gutter="0"/>
          <w:pgNumType w:fmt="decimal"/>
          <w:cols w:space="425" w:num="1"/>
          <w:docGrid w:type="lines" w:linePitch="312" w:charSpace="0"/>
        </w:sectPr>
      </w:pPr>
    </w:p>
    <w:p w14:paraId="0B757606">
      <w:pPr>
        <w:pStyle w:val="2"/>
        <w:spacing w:before="156"/>
        <w:rPr>
          <w:sz w:val="30"/>
          <w:szCs w:val="30"/>
          <w:highlight w:val="none"/>
        </w:rPr>
      </w:pPr>
      <w:bookmarkStart w:id="48" w:name="_Toc9676"/>
      <w:r>
        <w:rPr>
          <w:sz w:val="30"/>
          <w:szCs w:val="30"/>
          <w:highlight w:val="none"/>
        </w:rPr>
        <w:t>附件1:</w:t>
      </w:r>
      <w:bookmarkEnd w:id="48"/>
    </w:p>
    <w:p w14:paraId="343D6DFE">
      <w:pPr>
        <w:spacing w:before="156" w:beforeLines="50" w:after="312" w:afterLines="100" w:line="360" w:lineRule="auto"/>
        <w:ind w:firstLine="0" w:firstLineChars="0"/>
        <w:jc w:val="center"/>
        <w:rPr>
          <w:rFonts w:ascii="黑体" w:hAnsi="黑体" w:eastAsia="黑体" w:cs="黑体"/>
          <w:b/>
          <w:bCs/>
          <w:sz w:val="30"/>
          <w:szCs w:val="30"/>
          <w:highlight w:val="none"/>
        </w:rPr>
      </w:pPr>
      <w:r>
        <w:rPr>
          <w:rFonts w:hint="eastAsia" w:ascii="黑体" w:hAnsi="黑体" w:eastAsia="黑体" w:cs="黑体"/>
          <w:b/>
          <w:bCs/>
          <w:sz w:val="30"/>
          <w:szCs w:val="30"/>
          <w:highlight w:val="none"/>
          <w:lang w:val="en-US" w:eastAsia="zh-CN"/>
        </w:rPr>
        <w:t>报价</w:t>
      </w:r>
      <w:r>
        <w:rPr>
          <w:rFonts w:ascii="黑体" w:hAnsi="黑体" w:eastAsia="黑体" w:cs="黑体"/>
          <w:b/>
          <w:bCs/>
          <w:sz w:val="30"/>
          <w:szCs w:val="30"/>
          <w:highlight w:val="none"/>
        </w:rPr>
        <w:t>表</w:t>
      </w:r>
    </w:p>
    <w:p w14:paraId="69DB7060">
      <w:pPr>
        <w:ind w:left="0" w:leftChars="0" w:firstLine="0" w:firstLineChars="0"/>
        <w:rPr>
          <w:rFonts w:ascii="黑体" w:hAnsi="黑体" w:eastAsia="黑体" w:cs="黑体"/>
          <w:b/>
          <w:bCs/>
          <w:sz w:val="44"/>
          <w:szCs w:val="44"/>
          <w:highlight w:val="none"/>
        </w:rPr>
        <w:sectPr>
          <w:pgSz w:w="11906" w:h="16838"/>
          <w:pgMar w:top="1440" w:right="1800" w:bottom="1440" w:left="1800" w:header="851" w:footer="992" w:gutter="0"/>
          <w:pgNumType w:fmt="decimal"/>
          <w:cols w:space="425" w:num="1"/>
          <w:docGrid w:type="lines" w:linePitch="312" w:charSpace="0"/>
        </w:sectPr>
      </w:pPr>
    </w:p>
    <w:p w14:paraId="36DF67BA">
      <w:pPr>
        <w:pStyle w:val="2"/>
        <w:spacing w:before="156"/>
        <w:rPr>
          <w:sz w:val="30"/>
          <w:szCs w:val="30"/>
          <w:highlight w:val="none"/>
        </w:rPr>
      </w:pPr>
      <w:bookmarkStart w:id="49" w:name="_Toc19882"/>
      <w:r>
        <w:rPr>
          <w:sz w:val="30"/>
          <w:szCs w:val="30"/>
          <w:highlight w:val="none"/>
        </w:rPr>
        <w:t>附件</w:t>
      </w:r>
      <w:r>
        <w:rPr>
          <w:rFonts w:hint="eastAsia"/>
          <w:sz w:val="30"/>
          <w:szCs w:val="30"/>
          <w:highlight w:val="none"/>
        </w:rPr>
        <w:t>2</w:t>
      </w:r>
      <w:r>
        <w:rPr>
          <w:sz w:val="30"/>
          <w:szCs w:val="30"/>
          <w:highlight w:val="none"/>
        </w:rPr>
        <w:t>:</w:t>
      </w:r>
    </w:p>
    <w:p w14:paraId="2E488263">
      <w:pPr>
        <w:spacing w:before="156" w:beforeLines="50" w:after="312" w:afterLines="100" w:line="360" w:lineRule="auto"/>
        <w:ind w:firstLine="0" w:firstLineChars="0"/>
        <w:jc w:val="center"/>
        <w:rPr>
          <w:rFonts w:ascii="黑体" w:hAnsi="黑体" w:eastAsia="黑体" w:cs="黑体"/>
          <w:b/>
          <w:bCs/>
          <w:sz w:val="30"/>
          <w:szCs w:val="30"/>
          <w:highlight w:val="none"/>
        </w:rPr>
      </w:pPr>
      <w:r>
        <w:rPr>
          <w:rFonts w:ascii="黑体" w:hAnsi="黑体" w:eastAsia="黑体" w:cs="黑体"/>
          <w:b/>
          <w:bCs/>
          <w:sz w:val="30"/>
          <w:szCs w:val="30"/>
          <w:highlight w:val="none"/>
        </w:rPr>
        <w:t>发包人供应主要材料和工程设备清单</w:t>
      </w:r>
    </w:p>
    <w:p w14:paraId="642CEF92">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061F026E">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5C1E2786">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6146A9A3">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1F6AD7E3">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6D11FB7F">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0BB6A161">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1FD111DB">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7241537F">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768D7F9A">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605AD3F2">
      <w:pPr>
        <w:spacing w:before="156" w:beforeLines="50" w:after="312" w:afterLines="100" w:line="360" w:lineRule="auto"/>
        <w:ind w:firstLine="0" w:firstLineChars="0"/>
        <w:jc w:val="center"/>
        <w:rPr>
          <w:rFonts w:ascii="黑体" w:hAnsi="黑体" w:eastAsia="黑体" w:cs="黑体"/>
          <w:b/>
          <w:bCs/>
          <w:sz w:val="44"/>
          <w:szCs w:val="44"/>
          <w:highlight w:val="none"/>
        </w:rPr>
        <w:sectPr>
          <w:pgSz w:w="11906" w:h="16838"/>
          <w:pgMar w:top="1440" w:right="1800" w:bottom="1440" w:left="1800" w:header="851" w:footer="992" w:gutter="0"/>
          <w:pgNumType w:fmt="decimal"/>
          <w:cols w:space="425" w:num="1"/>
          <w:docGrid w:type="lines" w:linePitch="312" w:charSpace="0"/>
        </w:sectPr>
      </w:pPr>
    </w:p>
    <w:p w14:paraId="339B1041">
      <w:pPr>
        <w:pStyle w:val="2"/>
        <w:spacing w:before="156"/>
        <w:rPr>
          <w:sz w:val="30"/>
          <w:szCs w:val="30"/>
          <w:highlight w:val="none"/>
        </w:rPr>
      </w:pPr>
      <w:r>
        <w:rPr>
          <w:sz w:val="30"/>
          <w:szCs w:val="30"/>
          <w:highlight w:val="none"/>
        </w:rPr>
        <w:t>附件</w:t>
      </w:r>
      <w:r>
        <w:rPr>
          <w:rFonts w:hint="eastAsia"/>
          <w:sz w:val="30"/>
          <w:szCs w:val="30"/>
          <w:highlight w:val="none"/>
        </w:rPr>
        <w:t>3</w:t>
      </w:r>
      <w:r>
        <w:rPr>
          <w:sz w:val="30"/>
          <w:szCs w:val="30"/>
          <w:highlight w:val="none"/>
        </w:rPr>
        <w:t>:</w:t>
      </w:r>
      <w:bookmarkEnd w:id="49"/>
    </w:p>
    <w:p w14:paraId="5ECB649A">
      <w:pPr>
        <w:spacing w:before="156" w:beforeLines="50" w:after="312" w:afterLines="100" w:line="360" w:lineRule="auto"/>
        <w:ind w:firstLine="0" w:firstLineChars="0"/>
        <w:jc w:val="center"/>
        <w:rPr>
          <w:rFonts w:ascii="黑体" w:hAnsi="黑体" w:eastAsia="黑体" w:cs="黑体"/>
          <w:b/>
          <w:bCs/>
          <w:sz w:val="30"/>
          <w:szCs w:val="30"/>
          <w:highlight w:val="none"/>
        </w:rPr>
      </w:pPr>
      <w:r>
        <w:rPr>
          <w:rFonts w:ascii="黑体" w:hAnsi="黑体" w:eastAsia="黑体" w:cs="黑体"/>
          <w:b/>
          <w:bCs/>
          <w:sz w:val="30"/>
          <w:szCs w:val="30"/>
          <w:highlight w:val="none"/>
        </w:rPr>
        <w:t>建设工程安全协议</w:t>
      </w:r>
    </w:p>
    <w:p w14:paraId="3BDF63BA">
      <w:pPr>
        <w:ind w:firstLine="420"/>
        <w:rPr>
          <w:highlight w:val="none"/>
        </w:rPr>
      </w:pPr>
      <w:r>
        <w:rPr>
          <w:highlight w:val="none"/>
        </w:rPr>
        <w:t>发包单位:</w:t>
      </w:r>
      <w:r>
        <w:rPr>
          <w:rFonts w:hint="eastAsia"/>
          <w:highlight w:val="none"/>
          <w:lang w:val="en-US" w:eastAsia="zh-CN"/>
        </w:rPr>
        <w:t xml:space="preserve">             </w:t>
      </w:r>
      <w:r>
        <w:rPr>
          <w:highlight w:val="none"/>
        </w:rPr>
        <w:t>(以下简称甲方)</w:t>
      </w:r>
    </w:p>
    <w:p w14:paraId="0401B31C">
      <w:pPr>
        <w:ind w:firstLine="420"/>
        <w:rPr>
          <w:highlight w:val="none"/>
        </w:rPr>
      </w:pPr>
      <w:r>
        <w:rPr>
          <w:rFonts w:hint="eastAsia"/>
          <w:highlight w:val="none"/>
          <w:lang w:val="en-US" w:eastAsia="zh-CN"/>
        </w:rPr>
        <w:t>分</w:t>
      </w:r>
      <w:r>
        <w:rPr>
          <w:rFonts w:hint="eastAsia"/>
          <w:highlight w:val="none"/>
        </w:rPr>
        <w:t>包单位：</w:t>
      </w:r>
      <w:r>
        <w:rPr>
          <w:rFonts w:hint="eastAsia"/>
          <w:highlight w:val="none"/>
          <w:u w:val="single"/>
          <w:lang w:val="en-US" w:eastAsia="zh-CN"/>
        </w:rPr>
        <w:t xml:space="preserve">            </w:t>
      </w:r>
      <w:r>
        <w:rPr>
          <w:highlight w:val="none"/>
        </w:rPr>
        <w:t>(以下简称 乙方)</w:t>
      </w:r>
    </w:p>
    <w:p w14:paraId="11A548C0">
      <w:pPr>
        <w:ind w:firstLine="420"/>
        <w:rPr>
          <w:highlight w:val="none"/>
        </w:rPr>
      </w:pPr>
      <w:r>
        <w:rPr>
          <w:highlight w:val="none"/>
        </w:rPr>
        <w:t>项目名称:</w:t>
      </w:r>
      <w:sdt>
        <w:sdtPr>
          <w:rPr>
            <w:rFonts w:ascii="仿宋_GB2312" w:hAnsi="仿宋_GB2312" w:eastAsia="仿宋_GB2312" w:cs="仿宋_GB2312"/>
            <w:kern w:val="2"/>
            <w:sz w:val="21"/>
            <w:szCs w:val="21"/>
            <w:highlight w:val="none"/>
            <w:lang w:val="en-US" w:eastAsia="zh-CN" w:bidi="ar-SA"/>
          </w:rPr>
          <w:id w:val="147473674"/>
          <w:placeholder>
            <w:docPart w:val="{18da147b-6558-47b0-b0ec-e53f3a8c8a8b}"/>
          </w:placeholder>
          <w:dataBinding w:xpath="/一闪流溢[1]/工程名称[1]" w:storeItemID="{34e2400a-2040-400b-8499-67bc057ee36d}"/>
          <w:text/>
        </w:sdtPr>
        <w:sdtEndPr>
          <w:rPr>
            <w:rFonts w:hint="default" w:ascii="仿宋_GB2312" w:hAnsi="仿宋_GB2312" w:eastAsia="仿宋_GB2312" w:cs="仿宋_GB2312"/>
            <w:kern w:val="2"/>
            <w:sz w:val="21"/>
            <w:szCs w:val="21"/>
            <w:highlight w:val="none"/>
            <w:u w:val="single"/>
            <w:lang w:val="en-US" w:eastAsia="zh-CN" w:bidi="ar-SA"/>
          </w:rPr>
        </w:sdtEndPr>
        <w:sdtContent>
          <w:r>
            <w:rPr>
              <w:rFonts w:hint="eastAsia"/>
              <w:color w:val="808080"/>
              <w:highlight w:val="none"/>
              <w:lang w:val="en-US" w:eastAsia="zh-CN"/>
            </w:rPr>
            <w:t xml:space="preserve"> </w:t>
          </w:r>
        </w:sdtContent>
      </w:sdt>
    </w:p>
    <w:p w14:paraId="67A37861">
      <w:pPr>
        <w:ind w:firstLine="420"/>
        <w:rPr>
          <w:highlight w:val="none"/>
        </w:rPr>
      </w:pPr>
      <w:r>
        <w:rPr>
          <w:rFonts w:hint="eastAsia"/>
          <w:highlight w:val="none"/>
          <w:lang w:val="en-US" w:eastAsia="zh-CN"/>
        </w:rPr>
        <w:t>为贯彻</w:t>
      </w:r>
      <w:r>
        <w:rPr>
          <w:highlight w:val="none"/>
        </w:rPr>
        <w:t>彻“安全第一、预防为主、综合治理”的安全生产方针，明确承发包双方的安全责任，提高施工现场安全文明施工管理水平，保障工程项目的安全和施工人员的安全与健康根据国家有关法律法规条例、国家电网有限公司的有关安全文明施工规定，结合本工程特点双方在签订合同的同时，经协商一致，签订本协议。</w:t>
      </w:r>
    </w:p>
    <w:p w14:paraId="054DFCF4">
      <w:pPr>
        <w:pStyle w:val="2"/>
        <w:spacing w:before="156"/>
        <w:rPr>
          <w:highlight w:val="none"/>
        </w:rPr>
      </w:pPr>
      <w:bookmarkStart w:id="50" w:name="_Toc13072"/>
      <w:r>
        <w:rPr>
          <w:highlight w:val="none"/>
        </w:rPr>
        <w:t>1.安全文明施工目标</w:t>
      </w:r>
      <w:bookmarkEnd w:id="50"/>
    </w:p>
    <w:p w14:paraId="1BEDDCB5">
      <w:pPr>
        <w:ind w:firstLine="420"/>
        <w:outlineLvl w:val="1"/>
        <w:rPr>
          <w:highlight w:val="none"/>
        </w:rPr>
      </w:pPr>
      <w:bookmarkStart w:id="51" w:name="_Toc11595"/>
      <w:r>
        <w:rPr>
          <w:highlight w:val="none"/>
        </w:rPr>
        <w:t>1)不发生轻伤及以上人身事故.</w:t>
      </w:r>
      <w:bookmarkEnd w:id="51"/>
    </w:p>
    <w:p w14:paraId="0F38CAD9">
      <w:pPr>
        <w:ind w:firstLine="420"/>
        <w:rPr>
          <w:highlight w:val="none"/>
        </w:rPr>
      </w:pPr>
      <w:r>
        <w:rPr>
          <w:highlight w:val="none"/>
        </w:rPr>
        <w:t>2)不发生机械、设备、火灾事故和同等及以上责任交通事故以及环境影响事件</w:t>
      </w:r>
    </w:p>
    <w:p w14:paraId="10CA9810">
      <w:pPr>
        <w:ind w:firstLine="420"/>
        <w:rPr>
          <w:highlight w:val="none"/>
        </w:rPr>
      </w:pPr>
      <w:r>
        <w:rPr>
          <w:highlight w:val="none"/>
        </w:rPr>
        <w:t>3)不发生因人为责任原因造成的电网、设备事故。</w:t>
      </w:r>
    </w:p>
    <w:p w14:paraId="47385E40">
      <w:pPr>
        <w:ind w:firstLine="420"/>
        <w:rPr>
          <w:highlight w:val="none"/>
        </w:rPr>
      </w:pPr>
      <w:r>
        <w:rPr>
          <w:highlight w:val="none"/>
        </w:rPr>
        <w:t>4)不出现违章指挥、不强令冒险作业，</w:t>
      </w:r>
    </w:p>
    <w:p w14:paraId="58849F2E">
      <w:pPr>
        <w:ind w:firstLine="420"/>
        <w:rPr>
          <w:highlight w:val="none"/>
        </w:rPr>
      </w:pPr>
      <w:r>
        <w:rPr>
          <w:highlight w:val="none"/>
        </w:rPr>
        <w:t>5)不发生信息安全事件。</w:t>
      </w:r>
    </w:p>
    <w:p w14:paraId="72DB910F">
      <w:pPr>
        <w:ind w:firstLine="420"/>
        <w:rPr>
          <w:highlight w:val="none"/>
        </w:rPr>
      </w:pPr>
      <w:r>
        <w:rPr>
          <w:highlight w:val="none"/>
        </w:rPr>
        <w:t>6)达到甲方提出的现场安全文明施工要求</w:t>
      </w:r>
      <w:r>
        <w:rPr>
          <w:rFonts w:hint="eastAsia"/>
          <w:highlight w:val="none"/>
        </w:rPr>
        <w:t>.</w:t>
      </w:r>
    </w:p>
    <w:p w14:paraId="6C58D51F">
      <w:pPr>
        <w:pStyle w:val="2"/>
        <w:spacing w:before="156"/>
        <w:rPr>
          <w:highlight w:val="none"/>
        </w:rPr>
      </w:pPr>
      <w:bookmarkStart w:id="52" w:name="_Toc15112"/>
      <w:r>
        <w:rPr>
          <w:highlight w:val="none"/>
        </w:rPr>
        <w:t>2.执行的主要法律法规、规程规范及标准制度，包括但不限于:</w:t>
      </w:r>
      <w:bookmarkEnd w:id="52"/>
    </w:p>
    <w:p w14:paraId="26F4FD06">
      <w:pPr>
        <w:ind w:firstLine="420"/>
        <w:rPr>
          <w:highlight w:val="none"/>
        </w:rPr>
      </w:pPr>
      <w:r>
        <w:rPr>
          <w:highlight w:val="none"/>
        </w:rPr>
        <w:t>1)《中华人民共和国安全生产法》</w:t>
      </w:r>
    </w:p>
    <w:p w14:paraId="1F9BA546">
      <w:pPr>
        <w:ind w:firstLine="420"/>
        <w:rPr>
          <w:highlight w:val="none"/>
        </w:rPr>
      </w:pPr>
      <w:r>
        <w:rPr>
          <w:highlight w:val="none"/>
        </w:rPr>
        <w:t>2)《中华人民共和国民法典》</w:t>
      </w:r>
    </w:p>
    <w:p w14:paraId="31203CF5">
      <w:pPr>
        <w:ind w:firstLine="420"/>
        <w:rPr>
          <w:highlight w:val="none"/>
        </w:rPr>
      </w:pPr>
      <w:r>
        <w:rPr>
          <w:highlight w:val="none"/>
        </w:rPr>
        <w:t>3)《中华人民共和国劳动法》</w:t>
      </w:r>
    </w:p>
    <w:p w14:paraId="3CCF4444">
      <w:pPr>
        <w:ind w:firstLine="420"/>
        <w:rPr>
          <w:highlight w:val="none"/>
        </w:rPr>
      </w:pPr>
      <w:r>
        <w:rPr>
          <w:highlight w:val="none"/>
        </w:rPr>
        <w:t>4)国务院《建设工程安全生产管理条例》</w:t>
      </w:r>
    </w:p>
    <w:p w14:paraId="767AC68E">
      <w:pPr>
        <w:ind w:firstLine="420"/>
        <w:rPr>
          <w:highlight w:val="none"/>
        </w:rPr>
      </w:pPr>
      <w:r>
        <w:rPr>
          <w:highlight w:val="none"/>
        </w:rPr>
        <w:t>5)国务院《生产安全事故报告和调查处理条例》</w:t>
      </w:r>
    </w:p>
    <w:p w14:paraId="5F203E54">
      <w:pPr>
        <w:ind w:firstLine="420"/>
        <w:rPr>
          <w:highlight w:val="none"/>
        </w:rPr>
      </w:pPr>
      <w:r>
        <w:rPr>
          <w:highlight w:val="none"/>
        </w:rPr>
        <w:t>6)国家部委办相关安全的规定</w:t>
      </w:r>
    </w:p>
    <w:p w14:paraId="73040962">
      <w:pPr>
        <w:ind w:firstLine="420"/>
        <w:rPr>
          <w:highlight w:val="none"/>
        </w:rPr>
      </w:pPr>
      <w:r>
        <w:rPr>
          <w:highlight w:val="none"/>
        </w:rPr>
        <w:t>7)建设工程所属的地方安全、环境法规</w:t>
      </w:r>
    </w:p>
    <w:p w14:paraId="7CE8F1E1">
      <w:pPr>
        <w:pStyle w:val="2"/>
        <w:spacing w:before="156"/>
        <w:rPr>
          <w:highlight w:val="none"/>
        </w:rPr>
      </w:pPr>
      <w:bookmarkStart w:id="53" w:name="_Toc12404"/>
      <w:r>
        <w:rPr>
          <w:highlight w:val="none"/>
        </w:rPr>
        <w:t>3.安全文明施工权利和义务</w:t>
      </w:r>
      <w:bookmarkEnd w:id="53"/>
    </w:p>
    <w:p w14:paraId="0F94398E">
      <w:pPr>
        <w:ind w:firstLine="420"/>
        <w:rPr>
          <w:highlight w:val="none"/>
        </w:rPr>
      </w:pPr>
      <w:r>
        <w:rPr>
          <w:rFonts w:hint="eastAsia"/>
          <w:highlight w:val="none"/>
        </w:rPr>
        <w:t>1)乙方是本工程项目现场安全的责任主体，在工程建设过程中应坚持贯彻“安全第一预防为主，综合治理”的安全生产方针，贯彻执行国家有关安全生产、环境保护的法律，法规和甲方及监理的安全文明施工、环境保护规章，确保安全文明施工和环境保护目标实现。</w:t>
      </w:r>
    </w:p>
    <w:p w14:paraId="4470B6F5">
      <w:pPr>
        <w:ind w:firstLine="420"/>
        <w:rPr>
          <w:highlight w:val="none"/>
        </w:rPr>
      </w:pPr>
      <w:r>
        <w:rPr>
          <w:rFonts w:hint="eastAsia"/>
          <w:highlight w:val="none"/>
        </w:rPr>
        <w:t>2)按规定组建符合本工程要求的施工项目部，承担合同范围内的施工任务。落实以项目经理为安全第一责任人的各级安全生产责任制，建立、健全项目安全文明施工管理保证体系、监督体系，确保各级各类管理人员在岗到位，</w:t>
      </w:r>
    </w:p>
    <w:p w14:paraId="33279B96">
      <w:pPr>
        <w:ind w:firstLine="420"/>
        <w:rPr>
          <w:highlight w:val="none"/>
        </w:rPr>
      </w:pPr>
      <w:r>
        <w:rPr>
          <w:rFonts w:hint="eastAsia"/>
          <w:highlight w:val="none"/>
        </w:rPr>
        <w:t>3)制定符合工程实际情况、具有可操作性的各项安全管理、环境保护制度，确保安全管理、环境保护体系的有效运行。</w:t>
      </w:r>
    </w:p>
    <w:p w14:paraId="1188A761">
      <w:pPr>
        <w:ind w:firstLine="420"/>
        <w:rPr>
          <w:highlight w:val="none"/>
        </w:rPr>
      </w:pPr>
      <w:r>
        <w:rPr>
          <w:rFonts w:hint="eastAsia"/>
          <w:highlight w:val="none"/>
        </w:rPr>
        <w:t>4)按规定在施工场所、生活区域配置消防设施和器材、设置消防安全标志和安全通道并定期组织检验、维修，保障消防设施和器材有效、完好。</w:t>
      </w:r>
    </w:p>
    <w:p w14:paraId="4289FE91">
      <w:pPr>
        <w:ind w:firstLine="420"/>
        <w:rPr>
          <w:highlight w:val="none"/>
        </w:rPr>
      </w:pPr>
      <w:r>
        <w:rPr>
          <w:rFonts w:hint="eastAsia"/>
          <w:highlight w:val="none"/>
        </w:rPr>
        <w:t>5)按规定提供本单位的所有安全资质、资格证明材料，并对其真实性负责。</w:t>
      </w:r>
    </w:p>
    <w:p w14:paraId="42F7E1B5">
      <w:pPr>
        <w:ind w:firstLine="420"/>
        <w:rPr>
          <w:highlight w:val="none"/>
        </w:rPr>
      </w:pPr>
      <w:r>
        <w:rPr>
          <w:rFonts w:hint="eastAsia"/>
          <w:highlight w:val="none"/>
        </w:rPr>
        <w:t>6)乙方进入现场的作业人员应符合国家和地方的有关用工规定，人员应有社会保险证明，进入现场作业的人员应经甲方审核备案。</w:t>
      </w:r>
    </w:p>
    <w:p w14:paraId="3A9ABF36">
      <w:pPr>
        <w:ind w:firstLine="420"/>
        <w:rPr>
          <w:highlight w:val="none"/>
        </w:rPr>
      </w:pPr>
      <w:r>
        <w:rPr>
          <w:rFonts w:hint="eastAsia"/>
          <w:highlight w:val="none"/>
        </w:rPr>
        <w:t>7)按规定对员工进行安全教育，对新进厂人员进行三级安全教育和考核;配合甲方组织开展作业单位、作业人员(包括现场各类管理人员)“双准入”工作，为安全考试合格人员办理“胸卡(安全准入)证”上岗作业，做到有据可查，未经甲方审核备案的作业人员、未通过“双准人"的作业人员或不具备作业资格的作业人员发生安全事故，由乙方负全责。</w:t>
      </w:r>
    </w:p>
    <w:p w14:paraId="5DA64804">
      <w:pPr>
        <w:ind w:firstLine="420"/>
        <w:outlineLvl w:val="1"/>
        <w:rPr>
          <w:highlight w:val="none"/>
        </w:rPr>
      </w:pPr>
      <w:bookmarkStart w:id="54" w:name="_Toc6461"/>
      <w:r>
        <w:rPr>
          <w:rFonts w:hint="eastAsia"/>
          <w:highlight w:val="none"/>
        </w:rPr>
        <w:t>8)建立完普相关安全记录台帐。</w:t>
      </w:r>
      <w:bookmarkEnd w:id="54"/>
    </w:p>
    <w:p w14:paraId="4F25B3A5">
      <w:pPr>
        <w:ind w:firstLine="420"/>
        <w:rPr>
          <w:highlight w:val="none"/>
        </w:rPr>
      </w:pPr>
      <w:r>
        <w:rPr>
          <w:rFonts w:hint="eastAsia"/>
          <w:highlight w:val="none"/>
        </w:rPr>
        <w:t>9)按照规定和要求，编制并落实各项有针对性的安全文明施工具体措施，组织施工方案和安全措施的全员交底，并签字确认。</w:t>
      </w:r>
    </w:p>
    <w:p w14:paraId="746993E2">
      <w:pPr>
        <w:ind w:firstLine="420"/>
        <w:rPr>
          <w:highlight w:val="none"/>
        </w:rPr>
      </w:pPr>
      <w:r>
        <w:rPr>
          <w:rFonts w:hint="eastAsia"/>
          <w:highlight w:val="none"/>
        </w:rPr>
        <w:t>10)严格特种作业人员管理，包括特种作业人员的培训、复审，持证上岗，并报甲方备案。</w:t>
      </w:r>
    </w:p>
    <w:p w14:paraId="115B483B">
      <w:pPr>
        <w:ind w:firstLine="420"/>
        <w:rPr>
          <w:highlight w:val="none"/>
        </w:rPr>
      </w:pPr>
      <w:r>
        <w:rPr>
          <w:rFonts w:hint="eastAsia"/>
          <w:highlight w:val="none"/>
        </w:rPr>
        <w:t>11)定期组织施工人员身体检查，做到健康合格上岗，并按照国家规定为施工人员办理人身意外保险。</w:t>
      </w:r>
    </w:p>
    <w:p w14:paraId="75EEAE1C">
      <w:pPr>
        <w:ind w:firstLine="420"/>
        <w:rPr>
          <w:highlight w:val="none"/>
        </w:rPr>
      </w:pPr>
      <w:r>
        <w:rPr>
          <w:rFonts w:hint="eastAsia"/>
          <w:highlight w:val="none"/>
        </w:rPr>
        <w:t>12)开展危险源分析预控工作，进行作业场所危险点的告知并落实防范措施。</w:t>
      </w:r>
    </w:p>
    <w:p w14:paraId="609A6E97">
      <w:pPr>
        <w:ind w:firstLine="420"/>
        <w:rPr>
          <w:highlight w:val="none"/>
        </w:rPr>
      </w:pPr>
      <w:r>
        <w:rPr>
          <w:rFonts w:hint="eastAsia"/>
          <w:highlight w:val="none"/>
        </w:rPr>
        <w:t>13)对地下管线、架空线路、通讯线路以及已建成的装置采取相应的保护措施。</w:t>
      </w:r>
    </w:p>
    <w:p w14:paraId="1F9191F7">
      <w:pPr>
        <w:ind w:firstLine="420"/>
        <w:rPr>
          <w:highlight w:val="none"/>
        </w:rPr>
      </w:pPr>
      <w:r>
        <w:rPr>
          <w:rFonts w:hint="eastAsia"/>
          <w:highlight w:val="none"/>
        </w:rPr>
        <w:t>14)对施工现场作业人员的行为规范和安全措施的落实情况进行监督检查，对发现的问题及时纠正和整改。</w:t>
      </w:r>
    </w:p>
    <w:p w14:paraId="2E9974EB">
      <w:pPr>
        <w:ind w:firstLine="420"/>
        <w:rPr>
          <w:highlight w:val="none"/>
        </w:rPr>
      </w:pPr>
      <w:r>
        <w:rPr>
          <w:rFonts w:hint="eastAsia"/>
          <w:highlight w:val="none"/>
        </w:rPr>
        <w:t>15)为施工人员配备合格、规范的劳动防护用品，并督促、教育施工人员按照使用规则正确佩带和使用;定期对安全帽、安全带、绝缘鞋等劳动防护用品进行检验试验和更新;做好安全工器具的检测，确保合格、有效。</w:t>
      </w:r>
    </w:p>
    <w:p w14:paraId="50271A16">
      <w:pPr>
        <w:ind w:firstLine="420"/>
        <w:rPr>
          <w:highlight w:val="none"/>
        </w:rPr>
      </w:pPr>
      <w:r>
        <w:rPr>
          <w:rFonts w:hint="eastAsia"/>
          <w:highlight w:val="none"/>
        </w:rPr>
        <w:t>16)负责施工期间所使用的各种机械、设备及工器具管理。配备合格的施工机械、工器具、仪器、仪表。如乙方必须借用或租赁，必须办理借用或租赁手续。建立和完善现场施工 机械管理制度和验收要求。按照国家有关规定由具备资质的检测机构对特种机进行检验检测，并将检测报告和检测合格证书报甲方备案。</w:t>
      </w:r>
    </w:p>
    <w:p w14:paraId="0720991C">
      <w:pPr>
        <w:ind w:firstLine="420"/>
        <w:rPr>
          <w:highlight w:val="none"/>
        </w:rPr>
      </w:pPr>
      <w:r>
        <w:rPr>
          <w:rFonts w:hint="eastAsia"/>
          <w:highlight w:val="none"/>
        </w:rPr>
        <w:t>17)按规定编制起重机械、垂直运输机械等的安装拆除的施工和安全措施方案,报甲方和监理审查通过后实施，安装拆除单位必须具备相应的安全资质。</w:t>
      </w:r>
    </w:p>
    <w:p w14:paraId="089E75DB">
      <w:pPr>
        <w:ind w:firstLine="420"/>
        <w:rPr>
          <w:highlight w:val="none"/>
        </w:rPr>
      </w:pPr>
      <w:r>
        <w:rPr>
          <w:rFonts w:hint="eastAsia"/>
          <w:highlight w:val="none"/>
        </w:rPr>
        <w:t>18)对危险性较大的施工项目，应经安全验算，编制专项安全技术措施并报甲方和监理审查通过后，按国家规定程序实施。</w:t>
      </w:r>
    </w:p>
    <w:p w14:paraId="421C0C41">
      <w:pPr>
        <w:ind w:firstLine="420"/>
        <w:rPr>
          <w:highlight w:val="none"/>
        </w:rPr>
      </w:pPr>
      <w:r>
        <w:rPr>
          <w:rFonts w:hint="eastAsia"/>
          <w:highlight w:val="none"/>
        </w:rPr>
        <w:t>19)落实现场施工环境保护要求，对施工产生的噪声、振动、大气污染、废水泥浆排放扬尘、固体废料和危险废料等进行控制。</w:t>
      </w:r>
    </w:p>
    <w:p w14:paraId="490EEE35">
      <w:pPr>
        <w:ind w:firstLine="420"/>
        <w:rPr>
          <w:highlight w:val="none"/>
        </w:rPr>
      </w:pPr>
      <w:r>
        <w:rPr>
          <w:rFonts w:hint="eastAsia"/>
          <w:highlight w:val="none"/>
        </w:rPr>
        <w:t>20)按实际情况和季节特点制定包括防火、防大风、防汛、防冻、防暑、防雷、防雨防雾等安全措施或管理办法，落实相应的安全设施。</w:t>
      </w:r>
    </w:p>
    <w:p w14:paraId="5CD543DD">
      <w:pPr>
        <w:ind w:firstLine="420"/>
        <w:rPr>
          <w:highlight w:val="none"/>
        </w:rPr>
      </w:pPr>
      <w:r>
        <w:rPr>
          <w:rFonts w:hint="eastAsia"/>
          <w:highlight w:val="none"/>
        </w:rPr>
        <w:t>21)建立和执行施工临时用电管理制度;按要求选用合格的配电箱,装设漏电保护器，电缆、架空线敷设、接地等符合规范。</w:t>
      </w:r>
    </w:p>
    <w:p w14:paraId="7C99629A">
      <w:pPr>
        <w:ind w:firstLine="420"/>
        <w:rPr>
          <w:highlight w:val="none"/>
        </w:rPr>
      </w:pPr>
      <w:r>
        <w:rPr>
          <w:rFonts w:hint="eastAsia"/>
          <w:highlight w:val="none"/>
        </w:rPr>
        <w:t>22)建立和执行起重、电动工器具等安全管理制度，定期检查检测，符合安全使用要求。</w:t>
      </w:r>
    </w:p>
    <w:p w14:paraId="2368AEAD">
      <w:pPr>
        <w:ind w:firstLine="420"/>
        <w:rPr>
          <w:highlight w:val="none"/>
        </w:rPr>
      </w:pPr>
      <w:r>
        <w:rPr>
          <w:rFonts w:hint="eastAsia"/>
          <w:highlight w:val="none"/>
        </w:rPr>
        <w:t>23)临近带电设备作业，应保持安全距离，做好安全隔离措施，必须指定专人监护。</w:t>
      </w:r>
    </w:p>
    <w:p w14:paraId="0201D8BA">
      <w:pPr>
        <w:ind w:firstLine="420"/>
        <w:outlineLvl w:val="1"/>
        <w:rPr>
          <w:highlight w:val="none"/>
        </w:rPr>
      </w:pPr>
      <w:bookmarkStart w:id="55" w:name="_Toc11064"/>
      <w:r>
        <w:rPr>
          <w:rFonts w:hint="eastAsia"/>
          <w:highlight w:val="none"/>
        </w:rPr>
        <w:t>24)交叉作业时应采取相应的隔离和错时施工等安全措施。</w:t>
      </w:r>
      <w:bookmarkEnd w:id="55"/>
    </w:p>
    <w:p w14:paraId="1BE3FBB0">
      <w:pPr>
        <w:ind w:firstLine="420"/>
        <w:rPr>
          <w:highlight w:val="none"/>
        </w:rPr>
      </w:pPr>
      <w:r>
        <w:rPr>
          <w:rFonts w:hint="eastAsia"/>
          <w:highlight w:val="none"/>
        </w:rPr>
        <w:t>25)施工特殊临时用电应符合规定，落实安全措施,在室内,夜间等作业环境内施工应配置相应的照明，在潮湿环境、容器内施工，电源电压应符合安规规定的安全电压等级，金属容器外壳及容器内使用的电动工器具要有可靠的接地，夜间施工应按照地方的环保要求，控制噪声、光污染等可能对周边造成的环境影响。</w:t>
      </w:r>
    </w:p>
    <w:p w14:paraId="143B578C">
      <w:pPr>
        <w:ind w:firstLine="420"/>
        <w:rPr>
          <w:highlight w:val="none"/>
        </w:rPr>
      </w:pPr>
      <w:r>
        <w:rPr>
          <w:rFonts w:hint="eastAsia"/>
          <w:highlight w:val="none"/>
        </w:rPr>
        <w:t>26)建立和执行危险化学品的采购、运输、储存、领用、保管、退库和废料处理的安全管理办法和措施。</w:t>
      </w:r>
    </w:p>
    <w:p w14:paraId="439A60B6">
      <w:pPr>
        <w:ind w:firstLine="420"/>
        <w:rPr>
          <w:highlight w:val="none"/>
        </w:rPr>
      </w:pPr>
      <w:r>
        <w:rPr>
          <w:rFonts w:hint="eastAsia"/>
          <w:highlight w:val="none"/>
        </w:rPr>
        <w:t>27)建立和执行现场施工脚手架验收检查管理制度，按有关规定组织脚手架使用前的验收、使用中的检查和维护;对大型脚手架、高大模板支撑系统的搭设方案组织专家论证。</w:t>
      </w:r>
    </w:p>
    <w:p w14:paraId="147D1191">
      <w:pPr>
        <w:ind w:firstLine="420"/>
        <w:rPr>
          <w:highlight w:val="none"/>
        </w:rPr>
      </w:pPr>
      <w:r>
        <w:rPr>
          <w:rFonts w:hint="eastAsia"/>
          <w:highlight w:val="none"/>
        </w:rPr>
        <w:t>28)落实相关电气作业工具和防护用品的定期检测，确保有效可靠。</w:t>
      </w:r>
    </w:p>
    <w:p w14:paraId="1D17AD49">
      <w:pPr>
        <w:ind w:firstLine="420"/>
        <w:rPr>
          <w:highlight w:val="none"/>
        </w:rPr>
      </w:pPr>
      <w:r>
        <w:rPr>
          <w:rFonts w:hint="eastAsia"/>
          <w:highlight w:val="none"/>
        </w:rPr>
        <w:t>29)设备安装就位期间，对未可靠固定的设备应做好相应的专项安全措施。</w:t>
      </w:r>
    </w:p>
    <w:p w14:paraId="305F998B">
      <w:pPr>
        <w:ind w:firstLine="420"/>
        <w:rPr>
          <w:highlight w:val="none"/>
        </w:rPr>
      </w:pPr>
      <w:r>
        <w:rPr>
          <w:rFonts w:hint="eastAsia"/>
          <w:highlight w:val="none"/>
        </w:rPr>
        <w:t>30)在设备调试试验前对相关设备和系统进行检查，确保安装接线正确、验收合格。</w:t>
      </w:r>
    </w:p>
    <w:p w14:paraId="5E924309">
      <w:pPr>
        <w:ind w:firstLine="420"/>
        <w:rPr>
          <w:highlight w:val="none"/>
        </w:rPr>
      </w:pPr>
      <w:r>
        <w:rPr>
          <w:rFonts w:hint="eastAsia"/>
          <w:highlight w:val="none"/>
        </w:rPr>
        <w:t>31)设备受电前，负责完善相应的安全措施，并在相应的受电设备和区域设置安全隔离设备铭牌、安全警示牌等安全措施，撒离作业人员。</w:t>
      </w:r>
    </w:p>
    <w:p w14:paraId="2C228C6F">
      <w:pPr>
        <w:ind w:firstLine="420"/>
        <w:rPr>
          <w:highlight w:val="none"/>
        </w:rPr>
      </w:pPr>
      <w:r>
        <w:rPr>
          <w:rFonts w:hint="eastAsia"/>
          <w:highlight w:val="none"/>
        </w:rPr>
        <w:t>32)在电缆层、电缆隧道、管道内、容器内、密闭空间等区域内工作，应先按规定进行通风、监测有毒有害气体，符合要求后，方可工作。容器、密闭空间内作业过程中应指派专人监护，并有紧急救援措施。</w:t>
      </w:r>
    </w:p>
    <w:p w14:paraId="447241D6">
      <w:pPr>
        <w:ind w:firstLine="420"/>
        <w:rPr>
          <w:highlight w:val="none"/>
        </w:rPr>
      </w:pPr>
      <w:r>
        <w:rPr>
          <w:rFonts w:hint="eastAsia"/>
          <w:highlight w:val="none"/>
        </w:rPr>
        <w:t>33)对控制室、继保室、通信机房、计算机室等，已敷设的电缆，已安装变压器、盘柜蓄电池等设备以及现场的易燃易爆危险品，应采取可靠的防火隔离措施，配置相应的消防器材。</w:t>
      </w:r>
    </w:p>
    <w:p w14:paraId="6E547B77">
      <w:pPr>
        <w:ind w:firstLine="420"/>
        <w:rPr>
          <w:highlight w:val="none"/>
        </w:rPr>
      </w:pPr>
      <w:r>
        <w:rPr>
          <w:rFonts w:hint="eastAsia"/>
          <w:highlight w:val="none"/>
        </w:rPr>
        <w:t>34)管道安装应设置相应的安全作业平台、采取可靠的临时安全措施。</w:t>
      </w:r>
    </w:p>
    <w:p w14:paraId="3A11846F">
      <w:pPr>
        <w:ind w:firstLine="420"/>
        <w:rPr>
          <w:highlight w:val="none"/>
        </w:rPr>
      </w:pPr>
      <w:r>
        <w:rPr>
          <w:rFonts w:hint="eastAsia"/>
          <w:highlight w:val="none"/>
        </w:rPr>
        <w:t>35)焊接、切割等动火作业应办理相应的动火工作票，采取有效的防火措施和防止火星溅落的隔离措施，重点区域要加强监护。</w:t>
      </w:r>
    </w:p>
    <w:p w14:paraId="4D126812">
      <w:pPr>
        <w:ind w:firstLine="420"/>
        <w:rPr>
          <w:highlight w:val="none"/>
        </w:rPr>
      </w:pPr>
      <w:r>
        <w:rPr>
          <w:rFonts w:hint="eastAsia"/>
          <w:highlight w:val="none"/>
        </w:rPr>
        <w:t>36)设备试运前应对相关设备进行验收确认，设置相应的设备铭牌和安全警示牌，必要时应对相关区城进行清场，确保相关安全措施的落实。</w:t>
      </w:r>
    </w:p>
    <w:p w14:paraId="562F5AE5">
      <w:pPr>
        <w:ind w:firstLine="420"/>
        <w:rPr>
          <w:highlight w:val="none"/>
        </w:rPr>
      </w:pPr>
      <w:r>
        <w:rPr>
          <w:rFonts w:hint="eastAsia"/>
          <w:highlight w:val="none"/>
        </w:rPr>
        <w:t>37)消防设施压力试验、喷淋试验应通过甲方向相关单位提前公告，采取明显的警戒区域，设置相应的警示标牌，防止造成对人员的伤害。设备消缺应确认设备已经停电隔绝、泄压、放水，并采取安全措施，才可进行工作。</w:t>
      </w:r>
    </w:p>
    <w:p w14:paraId="71BEF3A8">
      <w:pPr>
        <w:ind w:firstLine="420"/>
        <w:rPr>
          <w:highlight w:val="none"/>
        </w:rPr>
      </w:pPr>
      <w:r>
        <w:rPr>
          <w:rFonts w:hint="eastAsia"/>
          <w:highlight w:val="none"/>
        </w:rPr>
        <w:t>38)在已受电或已投运的区城施工，落实设备防护和人身安全措施。</w:t>
      </w:r>
    </w:p>
    <w:p w14:paraId="45966686">
      <w:pPr>
        <w:ind w:firstLine="420"/>
        <w:rPr>
          <w:highlight w:val="none"/>
        </w:rPr>
      </w:pPr>
      <w:r>
        <w:rPr>
          <w:rFonts w:hint="eastAsia"/>
          <w:highlight w:val="none"/>
        </w:rPr>
        <w:t>39)乙方如确需对部分施工作业进行分包，应严格对分包单位进行安全资质审查，行报批手续，报甲方审核批准后，方可签订分包合同和安全协议，明确安全责任，纳人乙方的安全责任范围内。</w:t>
      </w:r>
    </w:p>
    <w:p w14:paraId="35E7EB23">
      <w:pPr>
        <w:ind w:firstLine="420"/>
        <w:rPr>
          <w:highlight w:val="none"/>
        </w:rPr>
      </w:pPr>
      <w:r>
        <w:rPr>
          <w:rFonts w:hint="eastAsia"/>
          <w:highlight w:val="none"/>
        </w:rPr>
        <w:t>40)现场一旦发生事故，必须立即进行救援，及时报告甲方，并按要求报告地方安全生产监督和管理部门，做好善后处理工作。</w:t>
      </w:r>
    </w:p>
    <w:p w14:paraId="1D3469FF">
      <w:pPr>
        <w:ind w:firstLine="420"/>
        <w:rPr>
          <w:color w:val="E54C5E" w:themeColor="accent6"/>
          <w:highlight w:val="none"/>
          <w14:textFill>
            <w14:solidFill>
              <w14:schemeClr w14:val="accent6"/>
            </w14:solidFill>
          </w14:textFill>
        </w:rPr>
      </w:pPr>
      <w:r>
        <w:rPr>
          <w:rFonts w:hint="eastAsia"/>
          <w:highlight w:val="none"/>
        </w:rPr>
        <w:t>41)对甲方、监理及上级单位和人员的违反安全生产规定、制度并可能造成安全事故的指令有权拒绝执行，对甲方、监理在安全管理工作中存在的问题有权提出意见和改进建议。</w:t>
      </w:r>
    </w:p>
    <w:p w14:paraId="7ED30BAA">
      <w:pPr>
        <w:pStyle w:val="2"/>
        <w:spacing w:before="156"/>
        <w:rPr>
          <w:highlight w:val="none"/>
        </w:rPr>
      </w:pPr>
      <w:bookmarkStart w:id="56" w:name="_Toc560"/>
      <w:r>
        <w:rPr>
          <w:rFonts w:hint="eastAsia"/>
          <w:highlight w:val="none"/>
        </w:rPr>
        <w:t>4.附则</w:t>
      </w:r>
      <w:bookmarkEnd w:id="56"/>
    </w:p>
    <w:p w14:paraId="01736329">
      <w:pPr>
        <w:ind w:firstLine="420"/>
        <w:rPr>
          <w:highlight w:val="none"/>
        </w:rPr>
      </w:pPr>
      <w:r>
        <w:rPr>
          <w:rFonts w:hint="eastAsia"/>
          <w:highlight w:val="none"/>
        </w:rPr>
        <w:t>1)本协议约定的各项条款，经签字、盖章后生效，作为合同附件具有同等法律效力，乙方应严格按照本协议规定的各项条款，承担相应的安全文明施工、环境保护管理责任。因违反本协议造成的安全事故或环境影响事件，乙方承担相应的法律责任和经济责任；</w:t>
      </w:r>
    </w:p>
    <w:p w14:paraId="42AFCCAC">
      <w:pPr>
        <w:ind w:firstLine="420"/>
        <w:rPr>
          <w:highlight w:val="none"/>
        </w:rPr>
      </w:pPr>
      <w:r>
        <w:rPr>
          <w:rFonts w:hint="eastAsia"/>
          <w:highlight w:val="none"/>
        </w:rPr>
        <w:t>2)本协议内容如与国家有关法律、法规和规定不一致，按照国家有关规定执行；</w:t>
      </w:r>
    </w:p>
    <w:p w14:paraId="6D4BC5D7">
      <w:pPr>
        <w:ind w:firstLine="420"/>
        <w:rPr>
          <w:highlight w:val="none"/>
        </w:rPr>
      </w:pPr>
      <w:r>
        <w:rPr>
          <w:rFonts w:hint="eastAsia"/>
          <w:highlight w:val="none"/>
        </w:rPr>
        <w:t>3)协议有效期按照合同工期。合同工期变更，本协议有效期相应变更;合同施工工作内容、范围有变动时，应及时签订补充协议；</w:t>
      </w:r>
    </w:p>
    <w:p w14:paraId="0EF1A8DE">
      <w:pPr>
        <w:ind w:firstLine="420"/>
        <w:rPr>
          <w:highlight w:val="none"/>
        </w:rPr>
      </w:pPr>
      <w:r>
        <w:rPr>
          <w:rFonts w:hint="eastAsia"/>
          <w:highlight w:val="none"/>
        </w:rPr>
        <w:t>4因不可抗力造成的双方设备损坏、人员伤亡，甲乙双方各自承担相应的损失；</w:t>
      </w:r>
    </w:p>
    <w:p w14:paraId="67E80584">
      <w:pPr>
        <w:ind w:firstLine="420"/>
        <w:rPr>
          <w:highlight w:val="none"/>
        </w:rPr>
      </w:pPr>
      <w:r>
        <w:rPr>
          <w:rFonts w:hint="eastAsia"/>
          <w:highlight w:val="none"/>
        </w:rPr>
        <w:t>5)其他未尽事宜可另行约定。</w:t>
      </w:r>
    </w:p>
    <w:p w14:paraId="49D2EA5E">
      <w:pPr>
        <w:ind w:firstLine="420"/>
        <w:rPr>
          <w:rFonts w:hint="eastAsia"/>
          <w:highlight w:val="none"/>
        </w:rPr>
      </w:pPr>
      <w:r>
        <w:rPr>
          <w:rFonts w:hint="eastAsia"/>
          <w:highlight w:val="none"/>
        </w:rPr>
        <w:t>本协议一式肆份，甲乙双方各执贰份。</w:t>
      </w:r>
    </w:p>
    <w:p w14:paraId="7D322AD9">
      <w:pPr>
        <w:ind w:firstLine="420"/>
        <w:rPr>
          <w:rFonts w:hint="eastAsia"/>
          <w:highlight w:val="none"/>
        </w:rPr>
      </w:pPr>
    </w:p>
    <w:p w14:paraId="0CC5E252">
      <w:pPr>
        <w:ind w:firstLine="420"/>
        <w:rPr>
          <w:rFonts w:hint="eastAsia"/>
          <w:highlight w:val="none"/>
        </w:rPr>
      </w:pPr>
    </w:p>
    <w:p w14:paraId="0894193A">
      <w:pPr>
        <w:ind w:left="0" w:leftChars="0" w:firstLine="0" w:firstLineChars="0"/>
        <w:rPr>
          <w:rFonts w:hint="eastAsia"/>
          <w:highlight w:val="none"/>
        </w:rPr>
      </w:pPr>
    </w:p>
    <w:tbl>
      <w:tblPr>
        <w:tblStyle w:val="14"/>
        <w:tblW w:w="0" w:type="auto"/>
        <w:jc w:val="center"/>
        <w:tblLayout w:type="autofit"/>
        <w:tblCellMar>
          <w:top w:w="0" w:type="dxa"/>
          <w:left w:w="108" w:type="dxa"/>
          <w:bottom w:w="0" w:type="dxa"/>
          <w:right w:w="108" w:type="dxa"/>
        </w:tblCellMar>
      </w:tblPr>
      <w:tblGrid>
        <w:gridCol w:w="4148"/>
        <w:gridCol w:w="4148"/>
      </w:tblGrid>
      <w:tr w14:paraId="409A612A">
        <w:tblPrEx>
          <w:tblCellMar>
            <w:top w:w="0" w:type="dxa"/>
            <w:left w:w="108" w:type="dxa"/>
            <w:bottom w:w="0" w:type="dxa"/>
            <w:right w:w="108" w:type="dxa"/>
          </w:tblCellMar>
        </w:tblPrEx>
        <w:trPr>
          <w:trHeight w:val="1878" w:hRule="exact"/>
          <w:jc w:val="center"/>
        </w:trPr>
        <w:tc>
          <w:tcPr>
            <w:tcW w:w="4148" w:type="dxa"/>
            <w:vAlign w:val="top"/>
          </w:tcPr>
          <w:p w14:paraId="3B5FB812">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发包人（单位名称并盖章）：</w:t>
            </w:r>
          </w:p>
        </w:tc>
        <w:tc>
          <w:tcPr>
            <w:tcW w:w="4148" w:type="dxa"/>
            <w:vAlign w:val="top"/>
          </w:tcPr>
          <w:p w14:paraId="2B1A679B">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分包人（单位名称并盖章）：</w:t>
            </w:r>
          </w:p>
        </w:tc>
      </w:tr>
      <w:tr w14:paraId="098C564E">
        <w:tblPrEx>
          <w:tblCellMar>
            <w:top w:w="0" w:type="dxa"/>
            <w:left w:w="108" w:type="dxa"/>
            <w:bottom w:w="0" w:type="dxa"/>
            <w:right w:w="108" w:type="dxa"/>
          </w:tblCellMar>
        </w:tblPrEx>
        <w:trPr>
          <w:trHeight w:val="1458" w:hRule="exact"/>
          <w:jc w:val="center"/>
        </w:trPr>
        <w:tc>
          <w:tcPr>
            <w:tcW w:w="4148" w:type="dxa"/>
            <w:vAlign w:val="top"/>
          </w:tcPr>
          <w:p w14:paraId="3173FAB0">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法定代表人（或授权代理人）：</w:t>
            </w:r>
          </w:p>
        </w:tc>
        <w:tc>
          <w:tcPr>
            <w:tcW w:w="4148" w:type="dxa"/>
            <w:vAlign w:val="top"/>
          </w:tcPr>
          <w:p w14:paraId="7854C8AD">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法定代表人（或授权代理人）：</w:t>
            </w:r>
          </w:p>
        </w:tc>
      </w:tr>
      <w:tr w14:paraId="73D7349B">
        <w:tblPrEx>
          <w:tblCellMar>
            <w:top w:w="0" w:type="dxa"/>
            <w:left w:w="108" w:type="dxa"/>
            <w:bottom w:w="0" w:type="dxa"/>
            <w:right w:w="108" w:type="dxa"/>
          </w:tblCellMar>
        </w:tblPrEx>
        <w:trPr>
          <w:trHeight w:val="850" w:hRule="exact"/>
          <w:jc w:val="center"/>
        </w:trPr>
        <w:tc>
          <w:tcPr>
            <w:tcW w:w="4148" w:type="dxa"/>
            <w:vAlign w:val="top"/>
          </w:tcPr>
          <w:p w14:paraId="72F9E90A">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签订日期：</w:t>
            </w:r>
            <w:sdt>
              <w:sdtPr>
                <w:rPr>
                  <w:rFonts w:hint="eastAsia" w:ascii="仿宋_GB2312" w:hAnsi="仿宋_GB2312" w:eastAsia="仿宋_GB2312" w:cs="仿宋_GB2312"/>
                  <w:kern w:val="2"/>
                  <w:sz w:val="21"/>
                  <w:szCs w:val="21"/>
                  <w:highlight w:val="none"/>
                  <w:lang w:val="en-US" w:eastAsia="zh-CN" w:bidi="ar-SA"/>
                </w:rPr>
                <w:id w:val="147471894"/>
                <w:placeholder>
                  <w:docPart w:val="{2075e5da-c45d-454b-a336-52b8abd8fae8}"/>
                </w:placeholder>
                <w:dataBinding w:xpath="/一闪流溢[1]/签约时间[1]" w:storeItemID="{34e2400a-2040-400b-8499-67bc057ee36d}"/>
                <w:text/>
              </w:sdtPr>
              <w:sdtEndPr>
                <w:rPr>
                  <w:rFonts w:hint="eastAsia" w:ascii="仿宋_GB2312" w:hAnsi="仿宋_GB2312" w:eastAsia="仿宋_GB2312" w:cs="仿宋_GB2312"/>
                  <w:kern w:val="2"/>
                  <w:sz w:val="21"/>
                  <w:szCs w:val="21"/>
                  <w:highlight w:val="none"/>
                  <w:lang w:val="en-US" w:eastAsia="zh-CN" w:bidi="ar-SA"/>
                </w:rPr>
              </w:sdtEndPr>
              <w:sdtContent>
                <w:r>
                  <w:rPr>
                    <w:rFonts w:hint="eastAsia" w:cs="仿宋_GB2312"/>
                    <w:kern w:val="2"/>
                    <w:sz w:val="21"/>
                    <w:szCs w:val="21"/>
                    <w:highlight w:val="none"/>
                    <w:lang w:val="en-US" w:eastAsia="zh-CN" w:bidi="ar-SA"/>
                  </w:rPr>
                  <w:t xml:space="preserve">    年    月   日</w:t>
                </w:r>
              </w:sdtContent>
            </w:sdt>
          </w:p>
        </w:tc>
        <w:tc>
          <w:tcPr>
            <w:tcW w:w="4148" w:type="dxa"/>
            <w:vAlign w:val="top"/>
          </w:tcPr>
          <w:p w14:paraId="1069D5A8">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签订日期：</w:t>
            </w:r>
            <w:sdt>
              <w:sdtPr>
                <w:rPr>
                  <w:rFonts w:hint="eastAsia" w:ascii="仿宋_GB2312" w:hAnsi="仿宋_GB2312" w:eastAsia="仿宋_GB2312" w:cs="仿宋_GB2312"/>
                  <w:kern w:val="2"/>
                  <w:sz w:val="21"/>
                  <w:szCs w:val="21"/>
                  <w:highlight w:val="none"/>
                  <w:lang w:val="en-US" w:eastAsia="zh-CN" w:bidi="ar-SA"/>
                </w:rPr>
                <w:id w:val="147468883"/>
                <w:placeholder>
                  <w:docPart w:val="{b60b1f89-f3a1-42ed-8f07-abdefca0ab6e}"/>
                </w:placeholder>
                <w:dataBinding w:xpath="/一闪流溢[1]/签约时间[1]" w:storeItemID="{34e2400a-2040-400b-8499-67bc057ee36d}"/>
                <w:text/>
              </w:sdtPr>
              <w:sdtEndPr>
                <w:rPr>
                  <w:rFonts w:hint="eastAsia" w:ascii="仿宋_GB2312" w:hAnsi="仿宋_GB2312" w:eastAsia="仿宋_GB2312" w:cs="仿宋_GB2312"/>
                  <w:kern w:val="2"/>
                  <w:sz w:val="21"/>
                  <w:szCs w:val="21"/>
                  <w:highlight w:val="none"/>
                  <w:lang w:val="en-US" w:eastAsia="zh-CN" w:bidi="ar-SA"/>
                </w:rPr>
              </w:sdtEndPr>
              <w:sdtContent>
                <w:r>
                  <w:rPr>
                    <w:rFonts w:hint="eastAsia" w:cs="仿宋_GB2312"/>
                    <w:kern w:val="2"/>
                    <w:sz w:val="21"/>
                    <w:szCs w:val="21"/>
                    <w:highlight w:val="none"/>
                    <w:lang w:val="en-US" w:eastAsia="zh-CN" w:bidi="ar-SA"/>
                  </w:rPr>
                  <w:t xml:space="preserve">    年    月   日</w:t>
                </w:r>
              </w:sdtContent>
            </w:sdt>
          </w:p>
        </w:tc>
      </w:tr>
    </w:tbl>
    <w:p w14:paraId="0D2379F9">
      <w:pPr>
        <w:ind w:firstLine="420"/>
        <w:rPr>
          <w:rFonts w:hint="eastAsia"/>
          <w:highlight w:val="none"/>
        </w:rPr>
      </w:pP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09899">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BA6093">
                          <w:pPr>
                            <w:pStyle w:val="10"/>
                            <w:ind w:firstLine="36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19</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0EBA6093">
                    <w:pPr>
                      <w:pStyle w:val="10"/>
                      <w:ind w:firstLine="36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19</w:t>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20"/>
      </w:pPr>
      <w:r>
        <w:separator/>
      </w:r>
    </w:p>
  </w:footnote>
  <w:footnote w:type="continuationSeparator" w:id="1">
    <w:p>
      <w:pPr>
        <w:spacing w:line="30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CE0C48"/>
    <w:multiLevelType w:val="singleLevel"/>
    <w:tmpl w:val="96CE0C48"/>
    <w:lvl w:ilvl="0" w:tentative="0">
      <w:start w:val="7"/>
      <w:numFmt w:val="decimal"/>
      <w:lvlText w:val="%1."/>
      <w:lvlJc w:val="left"/>
      <w:pPr>
        <w:tabs>
          <w:tab w:val="left" w:pos="312"/>
        </w:tabs>
      </w:pPr>
    </w:lvl>
  </w:abstractNum>
  <w:abstractNum w:abstractNumId="1">
    <w:nsid w:val="CADEEED3"/>
    <w:multiLevelType w:val="singleLevel"/>
    <w:tmpl w:val="CADEEED3"/>
    <w:lvl w:ilvl="0" w:tentative="0">
      <w:start w:val="19"/>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1019C"/>
    <w:rsid w:val="00954F19"/>
    <w:rsid w:val="009F0AEA"/>
    <w:rsid w:val="00D40FE8"/>
    <w:rsid w:val="00D4395C"/>
    <w:rsid w:val="01213882"/>
    <w:rsid w:val="01941722"/>
    <w:rsid w:val="01D7143E"/>
    <w:rsid w:val="026529FD"/>
    <w:rsid w:val="043F4C76"/>
    <w:rsid w:val="05E579E8"/>
    <w:rsid w:val="061076D0"/>
    <w:rsid w:val="0AD370AA"/>
    <w:rsid w:val="0D613488"/>
    <w:rsid w:val="0DA523D6"/>
    <w:rsid w:val="0F424ADD"/>
    <w:rsid w:val="0F794E08"/>
    <w:rsid w:val="106261D4"/>
    <w:rsid w:val="1158077D"/>
    <w:rsid w:val="12EF7749"/>
    <w:rsid w:val="139B4BA6"/>
    <w:rsid w:val="15A83064"/>
    <w:rsid w:val="18330AAB"/>
    <w:rsid w:val="190539D1"/>
    <w:rsid w:val="19720BC3"/>
    <w:rsid w:val="1A4D6037"/>
    <w:rsid w:val="1C3A4EDC"/>
    <w:rsid w:val="1CC30396"/>
    <w:rsid w:val="1D545E97"/>
    <w:rsid w:val="1E701504"/>
    <w:rsid w:val="1F057687"/>
    <w:rsid w:val="1F3A26F5"/>
    <w:rsid w:val="1F5A46D7"/>
    <w:rsid w:val="24752A1A"/>
    <w:rsid w:val="264E0D1A"/>
    <w:rsid w:val="26577850"/>
    <w:rsid w:val="268C163D"/>
    <w:rsid w:val="286607CE"/>
    <w:rsid w:val="29AB1258"/>
    <w:rsid w:val="2B0F45C8"/>
    <w:rsid w:val="2D31019C"/>
    <w:rsid w:val="2D987F4C"/>
    <w:rsid w:val="2DA36174"/>
    <w:rsid w:val="2EA87BD5"/>
    <w:rsid w:val="2EBE6299"/>
    <w:rsid w:val="2F1748AE"/>
    <w:rsid w:val="2F89604F"/>
    <w:rsid w:val="2FAF0565"/>
    <w:rsid w:val="2FF73956"/>
    <w:rsid w:val="323105FA"/>
    <w:rsid w:val="32B507BA"/>
    <w:rsid w:val="32BC19E3"/>
    <w:rsid w:val="335568C7"/>
    <w:rsid w:val="33C24716"/>
    <w:rsid w:val="34607C42"/>
    <w:rsid w:val="36482F81"/>
    <w:rsid w:val="367D2211"/>
    <w:rsid w:val="376B700A"/>
    <w:rsid w:val="37707E29"/>
    <w:rsid w:val="39507902"/>
    <w:rsid w:val="3AD15E3B"/>
    <w:rsid w:val="3B7A5A8D"/>
    <w:rsid w:val="3C491519"/>
    <w:rsid w:val="3C9E57AB"/>
    <w:rsid w:val="3CA535E2"/>
    <w:rsid w:val="3D4A76E1"/>
    <w:rsid w:val="3D962926"/>
    <w:rsid w:val="3E510F67"/>
    <w:rsid w:val="3ED106D1"/>
    <w:rsid w:val="3FD70C0D"/>
    <w:rsid w:val="400A0B15"/>
    <w:rsid w:val="4012211A"/>
    <w:rsid w:val="40507CA1"/>
    <w:rsid w:val="40833CB2"/>
    <w:rsid w:val="43C71378"/>
    <w:rsid w:val="43DA7B28"/>
    <w:rsid w:val="44006D4C"/>
    <w:rsid w:val="444D43D9"/>
    <w:rsid w:val="45CD24DB"/>
    <w:rsid w:val="472B3393"/>
    <w:rsid w:val="47AA77E6"/>
    <w:rsid w:val="48B620CF"/>
    <w:rsid w:val="4C767530"/>
    <w:rsid w:val="51023DDF"/>
    <w:rsid w:val="51743067"/>
    <w:rsid w:val="51802FF1"/>
    <w:rsid w:val="51F155B6"/>
    <w:rsid w:val="52877134"/>
    <w:rsid w:val="53582645"/>
    <w:rsid w:val="53A5018C"/>
    <w:rsid w:val="53B062D5"/>
    <w:rsid w:val="559C6EC8"/>
    <w:rsid w:val="580449F9"/>
    <w:rsid w:val="59CF1CE0"/>
    <w:rsid w:val="5A8700AE"/>
    <w:rsid w:val="5AA51E4F"/>
    <w:rsid w:val="5D204A1E"/>
    <w:rsid w:val="5D4A4C2F"/>
    <w:rsid w:val="5D6E3652"/>
    <w:rsid w:val="5FE07500"/>
    <w:rsid w:val="61141E2A"/>
    <w:rsid w:val="629D5670"/>
    <w:rsid w:val="64004DE2"/>
    <w:rsid w:val="650466A0"/>
    <w:rsid w:val="65AB66C0"/>
    <w:rsid w:val="66D63DDB"/>
    <w:rsid w:val="67E732E5"/>
    <w:rsid w:val="69664127"/>
    <w:rsid w:val="6B460C38"/>
    <w:rsid w:val="6B7F7D2B"/>
    <w:rsid w:val="6BB02E29"/>
    <w:rsid w:val="6D3B2790"/>
    <w:rsid w:val="6D831F2D"/>
    <w:rsid w:val="6F4D20BD"/>
    <w:rsid w:val="6FFD045F"/>
    <w:rsid w:val="706628CD"/>
    <w:rsid w:val="720D1255"/>
    <w:rsid w:val="731B3CA5"/>
    <w:rsid w:val="75D911BF"/>
    <w:rsid w:val="78D20A6B"/>
    <w:rsid w:val="796037ED"/>
    <w:rsid w:val="796B238A"/>
    <w:rsid w:val="7CFA77FD"/>
    <w:rsid w:val="7E2B6325"/>
    <w:rsid w:val="7E2E2AA5"/>
    <w:rsid w:val="7E9F54FD"/>
    <w:rsid w:val="7F180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600" w:firstLineChars="200"/>
      <w:jc w:val="both"/>
    </w:pPr>
    <w:rPr>
      <w:rFonts w:ascii="仿宋_GB2312" w:hAnsi="仿宋_GB2312" w:eastAsia="仿宋_GB2312" w:cs="仿宋_GB2312"/>
      <w:kern w:val="2"/>
      <w:sz w:val="21"/>
      <w:szCs w:val="21"/>
      <w:lang w:val="en-US" w:eastAsia="zh-CN" w:bidi="ar-SA"/>
    </w:rPr>
  </w:style>
  <w:style w:type="paragraph" w:styleId="2">
    <w:name w:val="heading 1"/>
    <w:basedOn w:val="1"/>
    <w:next w:val="1"/>
    <w:link w:val="17"/>
    <w:qFormat/>
    <w:uiPriority w:val="0"/>
    <w:pPr>
      <w:keepNext/>
      <w:keepLines/>
      <w:spacing w:before="50" w:beforeLines="50" w:line="360" w:lineRule="auto"/>
      <w:ind w:firstLine="0" w:firstLineChars="0"/>
      <w:outlineLvl w:val="0"/>
    </w:pPr>
    <w:rPr>
      <w:rFonts w:ascii="黑体" w:hAnsi="黑体" w:eastAsia="黑体" w:cs="黑体"/>
      <w:b/>
      <w:kern w:val="44"/>
      <w:sz w:val="24"/>
      <w:szCs w:val="24"/>
    </w:rPr>
  </w:style>
  <w:style w:type="paragraph" w:styleId="3">
    <w:name w:val="heading 2"/>
    <w:basedOn w:val="1"/>
    <w:next w:val="1"/>
    <w:unhideWhenUsed/>
    <w:qFormat/>
    <w:uiPriority w:val="0"/>
    <w:pPr>
      <w:keepNext/>
      <w:keepLines/>
      <w:spacing w:before="50" w:beforeLines="50"/>
      <w:jc w:val="left"/>
      <w:outlineLvl w:val="1"/>
    </w:pPr>
    <w:rPr>
      <w:rFonts w:ascii="黑体" w:hAnsi="黑体" w:eastAsia="黑体" w:cs="黑体"/>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qFormat/>
    <w:uiPriority w:val="0"/>
    <w:pPr>
      <w:spacing w:line="360" w:lineRule="auto"/>
      <w:ind w:firstLine="480"/>
    </w:pPr>
  </w:style>
  <w:style w:type="paragraph" w:styleId="5">
    <w:name w:val="Normal Indent"/>
    <w:basedOn w:val="1"/>
    <w:next w:val="1"/>
    <w:qFormat/>
    <w:uiPriority w:val="0"/>
    <w:pPr>
      <w:ind w:firstLine="420"/>
    </w:pPr>
    <w:rPr>
      <w:rFonts w:ascii="Times New Roman" w:hAnsi="Times New Roman" w:eastAsia="宋体" w:cs="Times New Roman"/>
      <w:szCs w:val="24"/>
    </w:rPr>
  </w:style>
  <w:style w:type="paragraph" w:styleId="6">
    <w:name w:val="Body Text Indent"/>
    <w:basedOn w:val="1"/>
    <w:next w:val="7"/>
    <w:unhideWhenUsed/>
    <w:qFormat/>
    <w:uiPriority w:val="99"/>
    <w:pPr>
      <w:spacing w:after="120"/>
      <w:ind w:left="420" w:leftChars="200"/>
    </w:pPr>
    <w:rPr>
      <w:rFonts w:ascii="Times New Roman" w:hAnsi="Times New Roman" w:eastAsia="宋体" w:cs="Times New Roman"/>
      <w:szCs w:val="24"/>
    </w:rPr>
  </w:style>
  <w:style w:type="paragraph" w:styleId="7">
    <w:name w:val="Body Text First Indent 2"/>
    <w:basedOn w:val="6"/>
    <w:next w:val="5"/>
    <w:unhideWhenUsed/>
    <w:qFormat/>
    <w:uiPriority w:val="0"/>
    <w:pPr>
      <w:ind w:firstLine="420"/>
    </w:pPr>
  </w:style>
  <w:style w:type="paragraph" w:styleId="8">
    <w:name w:val="toc 3"/>
    <w:basedOn w:val="1"/>
    <w:next w:val="1"/>
    <w:qFormat/>
    <w:uiPriority w:val="0"/>
    <w:pPr>
      <w:ind w:left="840" w:leftChars="400"/>
    </w:pPr>
  </w:style>
  <w:style w:type="paragraph" w:styleId="9">
    <w:name w:val="Plain Text"/>
    <w:basedOn w:val="1"/>
    <w:next w:val="1"/>
    <w:qFormat/>
    <w:uiPriority w:val="0"/>
    <w:rPr>
      <w:rFonts w:ascii="宋体" w:hAnsi="Courier New"/>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1 字符"/>
    <w:link w:val="2"/>
    <w:qFormat/>
    <w:uiPriority w:val="0"/>
    <w:rPr>
      <w:rFonts w:ascii="黑体" w:hAnsi="黑体" w:eastAsia="黑体" w:cs="黑体"/>
      <w:b/>
      <w:kern w:val="44"/>
      <w:sz w:val="24"/>
      <w:szCs w:val="24"/>
    </w:rPr>
  </w:style>
  <w:style w:type="paragraph" w:customStyle="1" w:styleId="18">
    <w:name w:val="Table Text"/>
    <w:basedOn w:val="1"/>
    <w:autoRedefine/>
    <w:semiHidden/>
    <w:qFormat/>
    <w:uiPriority w:val="0"/>
    <w:rPr>
      <w:rFonts w:ascii="等线" w:hAnsi="等线" w:eastAsia="等线" w:cs="等线"/>
      <w:sz w:val="20"/>
      <w:szCs w:val="20"/>
      <w:lang w:val="en-US" w:eastAsia="en-US" w:bidi="ar-SA"/>
    </w:rPr>
  </w:style>
  <w:style w:type="table" w:customStyle="1" w:styleId="1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8b3e269-3db0-4c2d-9058-95643b4814fa}"/>
        <w:style w:val=""/>
        <w:category>
          <w:name w:val="常规"/>
          <w:gallery w:val="placeholder"/>
        </w:category>
        <w:types>
          <w:type w:val="bbPlcHdr"/>
        </w:types>
        <w:behaviors>
          <w:behavior w:val="content"/>
        </w:behaviors>
        <w:description w:val=""/>
        <w:guid w:val="{f8b3e269-3db0-4c2d-9058-95643b4814fa}"/>
      </w:docPartPr>
      <w:docPartBody>
        <w:p w14:paraId="5CFCF726">
          <w:r>
            <w:rPr>
              <w:color w:val="808080"/>
            </w:rPr>
            <w:t>单击此处输入文字。</w:t>
          </w:r>
        </w:p>
      </w:docPartBody>
    </w:docPart>
    <w:docPart>
      <w:docPartPr>
        <w:name w:val="{ec3e6b78-17f0-427d-a7d9-dd6e899f39b9}"/>
        <w:style w:val=""/>
        <w:category>
          <w:name w:val="常规"/>
          <w:gallery w:val="placeholder"/>
        </w:category>
        <w:types>
          <w:type w:val="bbPlcHdr"/>
        </w:types>
        <w:behaviors>
          <w:behavior w:val="content"/>
        </w:behaviors>
        <w:description w:val=""/>
        <w:guid w:val="{ec3e6b78-17f0-427d-a7d9-dd6e899f39b9}"/>
      </w:docPartPr>
      <w:docPartBody>
        <w:p w14:paraId="4BC4BFA4">
          <w:r>
            <w:rPr>
              <w:color w:val="808080"/>
            </w:rPr>
            <w:t>单击此处输入文字。</w:t>
          </w:r>
        </w:p>
      </w:docPartBody>
    </w:docPart>
    <w:docPart>
      <w:docPartPr>
        <w:name w:val="{087018a1-e26c-43a7-90a3-189f24754853}"/>
        <w:style w:val=""/>
        <w:category>
          <w:name w:val="常规"/>
          <w:gallery w:val="placeholder"/>
        </w:category>
        <w:types>
          <w:type w:val="bbPlcHdr"/>
        </w:types>
        <w:behaviors>
          <w:behavior w:val="content"/>
        </w:behaviors>
        <w:description w:val=""/>
        <w:guid w:val="{087018a1-e26c-43a7-90a3-189f24754853}"/>
      </w:docPartPr>
      <w:docPartBody>
        <w:p w14:paraId="47926BF2">
          <w:r>
            <w:rPr>
              <w:color w:val="808080"/>
            </w:rPr>
            <w:t>单击此处输入文字。</w:t>
          </w:r>
        </w:p>
      </w:docPartBody>
    </w:docPart>
    <w:docPart>
      <w:docPartPr>
        <w:name w:val="{18da147b-6558-47b0-b0ec-e53f3a8c8a8b}"/>
        <w:style w:val=""/>
        <w:category>
          <w:name w:val="常规"/>
          <w:gallery w:val="placeholder"/>
        </w:category>
        <w:types>
          <w:type w:val="bbPlcHdr"/>
        </w:types>
        <w:behaviors>
          <w:behavior w:val="content"/>
        </w:behaviors>
        <w:description w:val=""/>
        <w:guid w:val="{18da147b-6558-47b0-b0ec-e53f3a8c8a8b}"/>
      </w:docPartPr>
      <w:docPartBody>
        <w:p w14:paraId="67558FC8">
          <w:r>
            <w:rPr>
              <w:color w:val="808080"/>
            </w:rPr>
            <w:t>单击此处输入文字。</w:t>
          </w:r>
        </w:p>
      </w:docPartBody>
    </w:docPart>
    <w:docPart>
      <w:docPartPr>
        <w:name w:val="{853aebd6-c0c7-46c7-b3a2-a7d59dcd85a5}"/>
        <w:style w:val=""/>
        <w:category>
          <w:name w:val="常规"/>
          <w:gallery w:val="placeholder"/>
        </w:category>
        <w:types>
          <w:type w:val="bbPlcHdr"/>
        </w:types>
        <w:behaviors>
          <w:behavior w:val="content"/>
        </w:behaviors>
        <w:description w:val=""/>
        <w:guid w:val="{853aebd6-c0c7-46c7-b3a2-a7d59dcd85a5}"/>
      </w:docPartPr>
      <w:docPartBody>
        <w:p w14:paraId="6C6489A8">
          <w:r>
            <w:rPr>
              <w:color w:val="808080"/>
            </w:rPr>
            <w:t>单击此处输入文字。</w:t>
          </w:r>
        </w:p>
      </w:docPartBody>
    </w:docPart>
    <w:docPart>
      <w:docPartPr>
        <w:name w:val="{62e28580-9bcf-44b3-a791-1a5ad925047b}"/>
        <w:style w:val=""/>
        <w:category>
          <w:name w:val="常规"/>
          <w:gallery w:val="placeholder"/>
        </w:category>
        <w:types>
          <w:type w:val="bbPlcHdr"/>
        </w:types>
        <w:behaviors>
          <w:behavior w:val="content"/>
        </w:behaviors>
        <w:description w:val=""/>
        <w:guid w:val="{62e28580-9bcf-44b3-a791-1a5ad925047b}"/>
      </w:docPartPr>
      <w:docPartBody>
        <w:p w14:paraId="7B427564">
          <w:r>
            <w:rPr>
              <w:color w:val="808080"/>
            </w:rPr>
            <w:t>单击此处输入文字。</w:t>
          </w:r>
        </w:p>
      </w:docPartBody>
    </w:docPart>
    <w:docPart>
      <w:docPartPr>
        <w:name w:val="{6f7a968c-f153-40d7-b9f1-a3fda4e23385}"/>
        <w:style w:val=""/>
        <w:category>
          <w:name w:val="常规"/>
          <w:gallery w:val="placeholder"/>
        </w:category>
        <w:types>
          <w:type w:val="bbPlcHdr"/>
        </w:types>
        <w:behaviors>
          <w:behavior w:val="content"/>
        </w:behaviors>
        <w:description w:val=""/>
        <w:guid w:val="{6f7a968c-f153-40d7-b9f1-a3fda4e23385}"/>
      </w:docPartPr>
      <w:docPartBody>
        <w:p w14:paraId="01485A14">
          <w:r>
            <w:rPr>
              <w:color w:val="808080"/>
            </w:rPr>
            <w:t>单击此处输入文字。</w:t>
          </w:r>
        </w:p>
      </w:docPartBody>
    </w:docPart>
    <w:docPart>
      <w:docPartPr>
        <w:name w:val="{0e0c9cc3-c0ed-4720-876d-d63b8381a92d}"/>
        <w:style w:val=""/>
        <w:category>
          <w:name w:val="常规"/>
          <w:gallery w:val="placeholder"/>
        </w:category>
        <w:types>
          <w:type w:val="bbPlcHdr"/>
        </w:types>
        <w:behaviors>
          <w:behavior w:val="content"/>
        </w:behaviors>
        <w:description w:val=""/>
        <w:guid w:val="{0e0c9cc3-c0ed-4720-876d-d63b8381a92d}"/>
      </w:docPartPr>
      <w:docPartBody>
        <w:p w14:paraId="2AF3508A">
          <w:r>
            <w:rPr>
              <w:color w:val="808080"/>
            </w:rPr>
            <w:t>单击此处输入文字。</w:t>
          </w:r>
        </w:p>
      </w:docPartBody>
    </w:docPart>
    <w:docPart>
      <w:docPartPr>
        <w:name w:val="{2075e5da-c45d-454b-a336-52b8abd8fae8}"/>
        <w:style w:val=""/>
        <w:category>
          <w:name w:val="常规"/>
          <w:gallery w:val="placeholder"/>
        </w:category>
        <w:types>
          <w:type w:val="bbPlcHdr"/>
        </w:types>
        <w:behaviors>
          <w:behavior w:val="content"/>
        </w:behaviors>
        <w:description w:val=""/>
        <w:guid w:val="{2075e5da-c45d-454b-a336-52b8abd8fae8}"/>
      </w:docPartPr>
      <w:docPartBody>
        <w:p w14:paraId="0998A0A1">
          <w:r>
            <w:rPr>
              <w:color w:val="808080"/>
            </w:rPr>
            <w:t>单击此处输入文字。</w:t>
          </w:r>
        </w:p>
      </w:docPartBody>
    </w:docPart>
    <w:docPart>
      <w:docPartPr>
        <w:name w:val="{b60b1f89-f3a1-42ed-8f07-abdefca0ab6e}"/>
        <w:style w:val=""/>
        <w:category>
          <w:name w:val="常规"/>
          <w:gallery w:val="placeholder"/>
        </w:category>
        <w:types>
          <w:type w:val="bbPlcHdr"/>
        </w:types>
        <w:behaviors>
          <w:behavior w:val="content"/>
        </w:behaviors>
        <w:description w:val=""/>
        <w:guid w:val="{b60b1f89-f3a1-42ed-8f07-abdefca0ab6e}"/>
      </w:docPartPr>
      <w:docPartBody>
        <w:p w14:paraId="5A098A1C">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4C4A3E"/>
    <w:rsid w:val="004C4A3E"/>
    <w:rsid w:val="00E36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一闪流溢>
  <合同编号>01111122</合同编号>
  <发包人/>
  <分包人>重庆虹盛机械租赁有限公司</分包人>
  <签约地点>光伏区安装工程施工</签约地点>
  <签约时间>    年    月   日</签约时间>
  <工程名称> </工程名称>
  <工程地点>             </工程地点>
  <承包方式>劳务分包</承包方式>
  <工程范围>负责光伏区施工工作，包括但不限于桩头防腐、支架安装、组件安装、逆变器安装、箱变安装、桥架安装、交直流电缆保护管敷设、交直流电缆直埋敷设（含土方开挖回填、铺砂盖砖）、电缆头制作、箱变安装（含接地、调试、二次接地）、光缆敷设、防火封堵、接地制作安装、避雷针安装、安防监控系统安装、室外照明设备安装等，设备材料（包括但不限于支架、光伏组件、逆变器、箱变、电缆设施、防火、光伏场区防雷接地设施、监控照明设备等甲乙供材）的装卸、转运、保管、材料二次加工，系统调试、启动及试运行直至移交业主的全部工作，并参加有关部门的检查验收和部分设备的出厂验收、试验，清除站内及场区范围内影响施工的所有杂物、施工平台、防洪设施、排水、消防、环水保持及恢复、场区工程措施，按发包人及安全设施标准化要求制作、装设施工期、运行期场区内所需的宣传标语，安全、设备及方阵标识、标牌等。2.光伏场区接地网的接地电阻测试、设备调试、电缆试验、光缆试验、并网性能试验发电子方阵系统调试、发电场整套启动调试及其他相关的测试，并提交测试报告。所有测试费用，分包人务必将所有测试费用充分考虑并包含在综合单价报价内。3.并网验收工作：配合完成防雷接地验收、档案专项验收、达标投产验收、整体启动验收、竣工验收等相关工作等；4.分包人需全面完成满足光伏场区工程施工要求的所有施工临时设施项目，具体涵盖施工临时供电、供水、施工照明、光伏子单元内施工便道、物资仓库的建设，以及环境保护和水土保持设施工程等。同时，分包人应自行承担施工设备的进、退场工作。</工程范围>
  <质量规范>《光伏发电站施工过程质量验收规范》</质量规范>
  <计划开工日期>2025年2月15日</计划开工日期>
  <计划竣工日期>2025年5月15日</计划竣工日期>
  <缺陷责任期>1年</缺陷责任期>
  <质量保证金比例>5%</质量保证金比例>
  <发包人代表>潘树平 18551698620</发包人代表>
  <分包人代表>何高强 15775811799</分包人代表>
  <是否提供履约担保>否</是否提供履约担保>
  <意外险保额>   万元</意外险保额>
</一闪流溢>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e2400a-2040-400b-8499-67bc057ee36d}">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12155</Words>
  <Characters>12848</Characters>
  <Lines>99</Lines>
  <Paragraphs>27</Paragraphs>
  <TotalTime>6</TotalTime>
  <ScaleCrop>false</ScaleCrop>
  <LinksUpToDate>false</LinksUpToDate>
  <CharactersWithSpaces>13109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2025-02-26T11:49:00Z</dcterms:created>
  <dc:creator>95%</dc:creator>
  <cp:lastModifiedBy>Rita</cp:lastModifiedBy>
  <cp:lastPrinted>2025-02-27T08:26:00Z</cp:lastPrinted>
  <dcterms:modified xsi:type="dcterms:W3CDTF">2025-07-21T05:52:40Z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69FFCAFA93A64140896B423AC04FB2F9_11</vt:lpwstr>
  </property>
  <property fmtid="{D5CDD505-2E9C-101B-9397-08002B2CF9AE}" pid="4" name="KSOTemplateDocerSaveRecord">
    <vt:lpwstr>eyJoZGlkIjoiNzNjNzY3YmZkODljZTE4MzE0MWU0MmZlMTA3ZmEyMzIiLCJ1c2VySWQiOiI4MDk4MzkyMTgifQ==</vt:lpwstr>
  </property>
</Properties>
</file>