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20BCA">
      <w:pPr>
        <w:spacing w:line="360" w:lineRule="auto"/>
        <w:jc w:val="center"/>
        <w:rPr>
          <w:rFonts w:asciiTheme="minorEastAsia" w:hAnsiTheme="minorEastAsia"/>
          <w:b/>
          <w:bCs/>
          <w:color w:val="000000" w:themeColor="text1"/>
          <w:sz w:val="36"/>
          <w:szCs w:val="24"/>
          <w14:textFill>
            <w14:solidFill>
              <w14:schemeClr w14:val="tx1"/>
            </w14:solidFill>
          </w14:textFill>
        </w:rPr>
      </w:pPr>
      <w:r>
        <w:rPr>
          <w:rFonts w:hint="eastAsia" w:asciiTheme="minorEastAsia" w:hAnsiTheme="minorEastAsia"/>
          <w:b/>
          <w:bCs/>
          <w:color w:val="000000" w:themeColor="text1"/>
          <w:sz w:val="36"/>
          <w:szCs w:val="24"/>
          <w14:textFill>
            <w14:solidFill>
              <w14:schemeClr w14:val="tx1"/>
            </w14:solidFill>
          </w14:textFill>
        </w:rPr>
        <w:t>重庆冠达世纪游轮有限公司招标公告</w:t>
      </w:r>
    </w:p>
    <w:p w14:paraId="330A90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bookmarkStart w:id="0" w:name="_Toc407135050"/>
      <w:r>
        <w:rPr>
          <w:rFonts w:ascii="宋体" w:hAnsi="宋体" w:eastAsia="宋体" w:cs="宋体"/>
          <w:color w:val="auto"/>
          <w:sz w:val="24"/>
          <w:szCs w:val="24"/>
        </w:rPr>
        <w:t>重庆冠达世纪游轮有限公司前身系深圳中小板上市企业重庆新世纪游轮股份有限公司，为“长江航运IPO第一股、游轮第一股”。公司经过30年多年的发展，现已成为集游轮设计建造、运营服务、港口接待管理为一体的全产业链企业，坚定不移推进游轮旅游的高质量发展，并以全球化布局，构建大游轮、大旅游国际体系。</w:t>
      </w:r>
    </w:p>
    <w:p w14:paraId="2F4D3B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olor w:val="auto"/>
          <w:sz w:val="24"/>
          <w:szCs w:val="24"/>
        </w:rPr>
      </w:pPr>
      <w:r>
        <w:rPr>
          <w:rFonts w:ascii="宋体" w:hAnsi="宋体" w:eastAsia="宋体" w:cs="宋体"/>
          <w:color w:val="auto"/>
          <w:sz w:val="24"/>
          <w:szCs w:val="24"/>
        </w:rPr>
        <w:t>公司拥有12艘长江最先进最豪华最大体量的五星级游轮旗舰船队，业务涵盖中国内河豪华游轮、观光游轮、欧洲内河游轮、海洋邮轮、中国出境旅游、北美全域旅游、精品旅游互联网资源整合平台等板块，作为长江上集游轮自主设计、自行建造、自力运营、自主营销为一体的全产业链公司，是安全、绿色、科技、智能、舒适的行业标准先行者。</w:t>
      </w:r>
    </w:p>
    <w:p w14:paraId="433761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本项目</w:t>
      </w:r>
      <w:r>
        <w:rPr>
          <w:rFonts w:hint="eastAsia" w:asciiTheme="minorEastAsia" w:hAnsiTheme="minorEastAsia"/>
          <w:b/>
          <w:bCs/>
          <w:color w:val="auto"/>
          <w:sz w:val="24"/>
          <w:szCs w:val="24"/>
          <w:u w:val="single"/>
          <w:lang w:val="en-US" w:eastAsia="zh-CN"/>
        </w:rPr>
        <w:t xml:space="preserve"> 2026</w:t>
      </w:r>
      <w:r>
        <w:rPr>
          <w:rFonts w:hint="eastAsia" w:asciiTheme="minorEastAsia" w:hAnsiTheme="minorEastAsia"/>
          <w:b/>
          <w:bCs/>
          <w:color w:val="000000" w:themeColor="text1"/>
          <w:sz w:val="24"/>
          <w:szCs w:val="24"/>
          <w:u w:val="single"/>
          <w:lang w:val="en-US" w:eastAsia="zh-CN"/>
          <w14:textFill>
            <w14:solidFill>
              <w14:schemeClr w14:val="tx1"/>
            </w14:solidFill>
          </w14:textFill>
        </w:rPr>
        <w:t>“</w:t>
      </w:r>
      <w:r>
        <w:rPr>
          <w:rFonts w:hint="eastAsia" w:asciiTheme="minorEastAsia" w:hAnsiTheme="minorEastAsia"/>
          <w:b/>
          <w:bCs/>
          <w:color w:val="000000" w:themeColor="text1"/>
          <w:sz w:val="24"/>
          <w:szCs w:val="24"/>
          <w:u w:val="single"/>
          <w:lang w:val="en-US" w:eastAsia="zh-CN"/>
          <w14:textFill>
            <w14:solidFill>
              <w14:schemeClr w14:val="tx1"/>
            </w14:solidFill>
          </w14:textFill>
        </w:rPr>
        <w:t>开年主题航次”拍摄“外籍家庭体验中国年”品牌视频及图片素材采集</w:t>
      </w:r>
      <w:r>
        <w:rPr>
          <w:rFonts w:hint="eastAsia" w:asciiTheme="minorEastAsia" w:hAnsiTheme="minorEastAsia"/>
          <w:color w:val="auto"/>
          <w:sz w:val="24"/>
          <w:szCs w:val="24"/>
          <w:u w:val="single"/>
          <w:lang w:val="en-US" w:eastAsia="zh-CN"/>
        </w:rPr>
        <w:t xml:space="preserve"> </w:t>
      </w:r>
      <w:r>
        <w:rPr>
          <w:rFonts w:hint="eastAsia" w:asciiTheme="minorEastAsia" w:hAnsiTheme="minorEastAsia"/>
          <w:color w:val="auto"/>
          <w:sz w:val="24"/>
          <w:szCs w:val="24"/>
        </w:rPr>
        <w:t>资金来自</w:t>
      </w:r>
      <w:r>
        <w:rPr>
          <w:rFonts w:hint="eastAsia" w:asciiTheme="minorEastAsia" w:hAnsiTheme="minorEastAsia"/>
          <w:color w:val="auto"/>
          <w:sz w:val="24"/>
          <w:szCs w:val="24"/>
          <w:u w:val="single"/>
        </w:rPr>
        <w:t xml:space="preserve"> 自筹资金 </w:t>
      </w:r>
      <w:r>
        <w:rPr>
          <w:rFonts w:hint="eastAsia" w:asciiTheme="minorEastAsia" w:hAnsiTheme="minorEastAsia"/>
          <w:color w:val="auto"/>
          <w:sz w:val="24"/>
          <w:szCs w:val="24"/>
        </w:rPr>
        <w:t>已全部到位。项目已具备招标条件，现对该项目进行公开招标。</w:t>
      </w:r>
    </w:p>
    <w:p w14:paraId="68C6E81E">
      <w:pPr>
        <w:spacing w:line="360" w:lineRule="auto"/>
        <w:ind w:firstLine="480"/>
        <w:rPr>
          <w:rFonts w:asciiTheme="minorEastAsia" w:hAnsiTheme="minorEastAsia"/>
          <w:color w:val="auto"/>
          <w:sz w:val="24"/>
          <w:szCs w:val="24"/>
        </w:rPr>
      </w:pPr>
    </w:p>
    <w:p w14:paraId="48164C08">
      <w:pPr>
        <w:pStyle w:val="19"/>
        <w:widowControl/>
        <w:numPr>
          <w:ilvl w:val="0"/>
          <w:numId w:val="1"/>
        </w:numPr>
        <w:shd w:val="clear" w:color="auto" w:fill="FFFFFF"/>
        <w:spacing w:line="360" w:lineRule="auto"/>
        <w:ind w:firstLineChars="0"/>
        <w:outlineLvl w:val="1"/>
        <w:rPr>
          <w:rFonts w:cs="Arial" w:asciiTheme="minorEastAsia" w:hAnsiTheme="minorEastAsia"/>
          <w:b/>
          <w:color w:val="auto"/>
          <w:kern w:val="0"/>
          <w:sz w:val="32"/>
          <w:szCs w:val="32"/>
        </w:rPr>
      </w:pPr>
      <w:r>
        <w:rPr>
          <w:rFonts w:hint="eastAsia" w:cs="Arial" w:asciiTheme="minorEastAsia" w:hAnsiTheme="minorEastAsia"/>
          <w:b/>
          <w:color w:val="auto"/>
          <w:kern w:val="0"/>
          <w:sz w:val="32"/>
          <w:szCs w:val="32"/>
          <w:lang w:val="en-US" w:eastAsia="zh-CN"/>
        </w:rPr>
        <w:t>投标前置条件</w:t>
      </w:r>
    </w:p>
    <w:p w14:paraId="69D762C9">
      <w:pPr>
        <w:numPr>
          <w:ilvl w:val="0"/>
          <w:numId w:val="2"/>
        </w:numPr>
        <w:spacing w:line="360" w:lineRule="auto"/>
        <w:rPr>
          <w:rFonts w:hint="eastAsia" w:ascii="宋体" w:hAnsi="宋体" w:eastAsia="宋体" w:cs="宋体"/>
          <w:color w:val="auto"/>
          <w:sz w:val="24"/>
          <w:szCs w:val="24"/>
          <w:lang w:eastAsia="zh-CN"/>
        </w:rPr>
      </w:pPr>
      <w:bookmarkStart w:id="1" w:name="_Toc79576674"/>
      <w:bookmarkEnd w:id="1"/>
      <w:bookmarkStart w:id="2" w:name="_Toc389065123"/>
      <w:bookmarkEnd w:id="2"/>
      <w:bookmarkStart w:id="3" w:name="_Toc12609203"/>
      <w:bookmarkEnd w:id="3"/>
      <w:r>
        <w:rPr>
          <w:rFonts w:ascii="宋体" w:hAnsi="宋体" w:eastAsia="宋体" w:cs="宋体"/>
          <w:color w:val="auto"/>
          <w:sz w:val="24"/>
          <w:szCs w:val="24"/>
        </w:rPr>
        <w:t>投标单位必须符合但不限于《中华人民共和国政府采购法》第二十二条要求；</w:t>
      </w:r>
      <w:r>
        <w:rPr>
          <w:rFonts w:ascii="宋体" w:hAnsi="宋体" w:eastAsia="宋体" w:cs="宋体"/>
          <w:color w:val="auto"/>
          <w:sz w:val="24"/>
          <w:szCs w:val="24"/>
        </w:rPr>
        <w:br w:type="textWrapping"/>
      </w:r>
      <w:r>
        <w:rPr>
          <w:rFonts w:ascii="宋体" w:hAnsi="宋体" w:eastAsia="宋体" w:cs="宋体"/>
          <w:color w:val="auto"/>
          <w:sz w:val="24"/>
          <w:szCs w:val="24"/>
        </w:rPr>
        <w:t>2、投标单位在“信用中国”（www.creditchina.gov.cn）网站中未被列入失信被执行人、重大税收违法案件当事人名单、不限于政府采购严重违法失信行为记录名单</w:t>
      </w:r>
      <w:r>
        <w:rPr>
          <w:rFonts w:hint="eastAsia" w:ascii="宋体" w:hAnsi="宋体" w:eastAsia="宋体" w:cs="宋体"/>
          <w:color w:val="auto"/>
          <w:sz w:val="24"/>
          <w:szCs w:val="24"/>
          <w:lang w:eastAsia="zh-CN"/>
        </w:rPr>
        <w:t>；</w:t>
      </w:r>
      <w:r>
        <w:rPr>
          <w:rFonts w:ascii="宋体" w:hAnsi="宋体" w:eastAsia="宋体" w:cs="宋体"/>
          <w:color w:val="auto"/>
          <w:sz w:val="24"/>
          <w:szCs w:val="24"/>
        </w:rPr>
        <w:br w:type="textWrapping"/>
      </w:r>
      <w:r>
        <w:rPr>
          <w:rFonts w:ascii="宋体" w:hAnsi="宋体" w:eastAsia="宋体" w:cs="宋体"/>
          <w:color w:val="auto"/>
          <w:sz w:val="24"/>
          <w:szCs w:val="24"/>
        </w:rPr>
        <w:t>3、根据最高人民法院等9部门《关于在招标投标活动中对失信被执行人实施联合惩戒的通知》（法〔2016〕285号）规定，投标人不得为失信被执行人（以评标阶段通过“信用中国”网站（www.creditchina.gov.cn）查询的结果为准）</w:t>
      </w:r>
      <w:r>
        <w:rPr>
          <w:rFonts w:hint="eastAsia" w:ascii="宋体" w:hAnsi="宋体" w:eastAsia="宋体" w:cs="宋体"/>
          <w:color w:val="auto"/>
          <w:sz w:val="24"/>
          <w:szCs w:val="24"/>
          <w:lang w:eastAsia="zh-CN"/>
        </w:rPr>
        <w:t>；</w:t>
      </w:r>
      <w:r>
        <w:rPr>
          <w:rFonts w:ascii="宋体" w:hAnsi="宋体" w:eastAsia="宋体" w:cs="宋体"/>
          <w:color w:val="auto"/>
          <w:sz w:val="24"/>
          <w:szCs w:val="24"/>
        </w:rPr>
        <w:br w:type="textWrapping"/>
      </w:r>
      <w:r>
        <w:rPr>
          <w:rFonts w:ascii="宋体" w:hAnsi="宋体" w:eastAsia="宋体" w:cs="宋体"/>
          <w:color w:val="auto"/>
          <w:sz w:val="24"/>
          <w:szCs w:val="24"/>
        </w:rPr>
        <w:t>4、本次招标不接受联合体投标</w:t>
      </w:r>
      <w:r>
        <w:rPr>
          <w:rFonts w:hint="eastAsia" w:asciiTheme="minorEastAsia" w:hAnsiTheme="minorEastAsia"/>
          <w:color w:val="auto"/>
          <w:sz w:val="24"/>
          <w:szCs w:val="24"/>
          <w:lang w:val="en-US" w:eastAsia="zh-CN"/>
        </w:rPr>
        <w:t>及项目转包</w:t>
      </w:r>
      <w:r>
        <w:rPr>
          <w:rFonts w:hint="eastAsia" w:ascii="宋体" w:hAnsi="宋体" w:eastAsia="宋体" w:cs="宋体"/>
          <w:color w:val="auto"/>
          <w:sz w:val="24"/>
          <w:szCs w:val="24"/>
          <w:lang w:eastAsia="zh-CN"/>
        </w:rPr>
        <w:t>。</w:t>
      </w:r>
    </w:p>
    <w:p w14:paraId="62BAE81E">
      <w:pPr>
        <w:spacing w:line="360" w:lineRule="auto"/>
        <w:ind w:firstLine="480"/>
        <w:rPr>
          <w:rFonts w:asciiTheme="minorEastAsia" w:hAnsiTheme="minorEastAsia"/>
          <w:color w:val="000000" w:themeColor="text1"/>
          <w:sz w:val="28"/>
          <w:szCs w:val="28"/>
          <w14:textFill>
            <w14:solidFill>
              <w14:schemeClr w14:val="tx1"/>
            </w14:solidFill>
          </w14:textFill>
        </w:rPr>
      </w:pPr>
    </w:p>
    <w:bookmarkEnd w:id="0"/>
    <w:p w14:paraId="3AA77A3A">
      <w:pPr>
        <w:pStyle w:val="19"/>
        <w:widowControl/>
        <w:numPr>
          <w:ilvl w:val="0"/>
          <w:numId w:val="1"/>
        </w:numPr>
        <w:shd w:val="clear" w:color="auto" w:fill="FFFFFF"/>
        <w:spacing w:line="360" w:lineRule="auto"/>
        <w:ind w:firstLineChars="0"/>
        <w:outlineLvl w:val="1"/>
        <w:rPr>
          <w:rFonts w:cs="Arial" w:asciiTheme="minorEastAsia" w:hAnsiTheme="minorEastAsia"/>
          <w:b/>
          <w:color w:val="000000" w:themeColor="text1"/>
          <w:kern w:val="0"/>
          <w:sz w:val="32"/>
          <w:szCs w:val="32"/>
          <w14:textFill>
            <w14:solidFill>
              <w14:schemeClr w14:val="tx1"/>
            </w14:solidFill>
          </w14:textFill>
        </w:rPr>
      </w:pPr>
      <w:r>
        <w:rPr>
          <w:rFonts w:hint="eastAsia" w:cs="Arial" w:asciiTheme="minorEastAsia" w:hAnsiTheme="minorEastAsia"/>
          <w:b/>
          <w:color w:val="000000" w:themeColor="text1"/>
          <w:kern w:val="0"/>
          <w:sz w:val="32"/>
          <w:szCs w:val="32"/>
          <w14:textFill>
            <w14:solidFill>
              <w14:schemeClr w14:val="tx1"/>
            </w14:solidFill>
          </w14:textFill>
        </w:rPr>
        <w:t>项目基本情况</w:t>
      </w:r>
    </w:p>
    <w:p w14:paraId="5DB76AC9">
      <w:pPr>
        <w:pStyle w:val="19"/>
        <w:numPr>
          <w:ilvl w:val="0"/>
          <w:numId w:val="3"/>
        </w:numPr>
        <w:spacing w:line="360" w:lineRule="auto"/>
        <w:ind w:left="426" w:right="-143" w:rightChars="-68" w:hanging="426" w:firstLineChars="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项目名称：</w:t>
      </w:r>
      <w:r>
        <w:rPr>
          <w:rFonts w:hint="eastAsia" w:asciiTheme="minorEastAsia" w:hAnsiTheme="minorEastAsia"/>
          <w:b/>
          <w:bCs/>
          <w:color w:val="000000" w:themeColor="text1"/>
          <w:sz w:val="24"/>
          <w:szCs w:val="24"/>
          <w:u w:val="single"/>
          <w:lang w:val="en-US" w:eastAsia="zh-CN"/>
          <w14:textFill>
            <w14:solidFill>
              <w14:schemeClr w14:val="tx1"/>
            </w14:solidFill>
          </w14:textFill>
        </w:rPr>
        <w:t>2026</w:t>
      </w:r>
      <w:r>
        <w:rPr>
          <w:rFonts w:hint="eastAsia" w:asciiTheme="minorEastAsia" w:hAnsiTheme="minorEastAsia"/>
          <w:b/>
          <w:bCs/>
          <w:color w:val="000000" w:themeColor="text1"/>
          <w:sz w:val="24"/>
          <w:szCs w:val="24"/>
          <w:u w:val="single"/>
          <w:lang w:val="en-US" w:eastAsia="zh-CN"/>
          <w14:textFill>
            <w14:solidFill>
              <w14:schemeClr w14:val="tx1"/>
            </w14:solidFill>
          </w14:textFill>
        </w:rPr>
        <w:t>“</w:t>
      </w:r>
      <w:r>
        <w:rPr>
          <w:rFonts w:hint="eastAsia" w:asciiTheme="minorEastAsia" w:hAnsiTheme="minorEastAsia"/>
          <w:b/>
          <w:bCs/>
          <w:color w:val="000000" w:themeColor="text1"/>
          <w:sz w:val="24"/>
          <w:szCs w:val="24"/>
          <w:u w:val="single"/>
          <w:lang w:val="en-US" w:eastAsia="zh-CN"/>
          <w14:textFill>
            <w14:solidFill>
              <w14:schemeClr w14:val="tx1"/>
            </w14:solidFill>
          </w14:textFill>
        </w:rPr>
        <w:t>开年主题航次”拍摄“外籍家庭体验中国年”品牌视频及图片素材采集</w:t>
      </w:r>
    </w:p>
    <w:p w14:paraId="0AA2888C">
      <w:pPr>
        <w:pStyle w:val="19"/>
        <w:numPr>
          <w:ilvl w:val="0"/>
          <w:numId w:val="3"/>
        </w:numPr>
        <w:spacing w:line="360" w:lineRule="auto"/>
        <w:ind w:left="426" w:right="-143" w:rightChars="-68" w:hanging="426" w:firstLineChars="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合同履行期限：以实际签订的项目合同为准。</w:t>
      </w:r>
    </w:p>
    <w:p w14:paraId="542A3BEE">
      <w:pPr>
        <w:pStyle w:val="19"/>
        <w:numPr>
          <w:ilvl w:val="0"/>
          <w:numId w:val="3"/>
        </w:numPr>
        <w:spacing w:line="360" w:lineRule="auto"/>
        <w:ind w:left="426" w:right="-143" w:rightChars="-68" w:hanging="426" w:firstLineChars="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auto"/>
          <w:sz w:val="24"/>
          <w:szCs w:val="24"/>
          <w:lang w:eastAsia="zh-CN"/>
        </w:rPr>
        <w:t>项目最高限标价</w:t>
      </w:r>
      <w:r>
        <w:rPr>
          <w:rFonts w:hint="eastAsia" w:asciiTheme="minorEastAsia" w:hAnsiTheme="minorEastAsia"/>
          <w:color w:val="auto"/>
          <w:sz w:val="24"/>
          <w:szCs w:val="24"/>
        </w:rPr>
        <w:t>：</w:t>
      </w:r>
      <w:r>
        <w:rPr>
          <w:rFonts w:hint="eastAsia" w:asciiTheme="minorEastAsia" w:hAnsiTheme="minorEastAsia"/>
          <w:b/>
          <w:bCs/>
          <w:color w:val="auto"/>
          <w:sz w:val="24"/>
          <w:szCs w:val="24"/>
          <w:lang w:val="en-US" w:eastAsia="zh-CN"/>
        </w:rPr>
        <w:t>20万元</w:t>
      </w:r>
    </w:p>
    <w:p w14:paraId="321C852E">
      <w:pPr>
        <w:pStyle w:val="19"/>
        <w:numPr>
          <w:ilvl w:val="0"/>
          <w:numId w:val="3"/>
        </w:numPr>
        <w:spacing w:line="360" w:lineRule="auto"/>
        <w:ind w:left="426" w:right="-143" w:rightChars="-68" w:hanging="426" w:firstLineChars="0"/>
        <w:rPr>
          <w:rFonts w:hint="eastAsia" w:asciiTheme="minorEastAsia" w:hAnsi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项目需求：</w:t>
      </w:r>
    </w:p>
    <w:p w14:paraId="590548D0">
      <w:pPr>
        <w:pStyle w:val="19"/>
        <w:numPr>
          <w:ilvl w:val="0"/>
          <w:numId w:val="4"/>
        </w:numPr>
        <w:spacing w:line="360" w:lineRule="auto"/>
        <w:ind w:leftChars="0" w:right="-143" w:rightChars="-68"/>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拍摄场景与内容</w:t>
      </w:r>
    </w:p>
    <w:p w14:paraId="7BFF1BB6">
      <w:pPr>
        <w:pStyle w:val="19"/>
        <w:numPr>
          <w:ilvl w:val="0"/>
          <w:numId w:val="0"/>
        </w:numPr>
        <w:spacing w:line="360" w:lineRule="auto"/>
        <w:ind w:leftChars="200" w:right="-143" w:rightChars="-68"/>
        <w:rPr>
          <w:rFonts w:hint="default"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1、</w:t>
      </w:r>
      <w:r>
        <w:rPr>
          <w:rFonts w:hint="default" w:asciiTheme="minorEastAsia" w:hAnsiTheme="minorEastAsia"/>
          <w:color w:val="000000" w:themeColor="text1"/>
          <w:sz w:val="24"/>
          <w:szCs w:val="24"/>
          <w:lang w:val="en-US" w:eastAsia="zh-CN"/>
          <w14:textFill>
            <w14:solidFill>
              <w14:schemeClr w14:val="tx1"/>
            </w14:solidFill>
          </w14:textFill>
        </w:rPr>
        <w:t>通过2-3名外籍模特（优先以家庭组合呈现）的视角，真实记录其见闻与互动，艺术化呈现世纪游轮上温馨、奢华且文化深厚的节日场景，从而向国际受众传递充满新意的中国年味。</w:t>
      </w:r>
    </w:p>
    <w:p w14:paraId="0C79E79A">
      <w:pPr>
        <w:pStyle w:val="19"/>
        <w:numPr>
          <w:ilvl w:val="0"/>
          <w:numId w:val="0"/>
        </w:numPr>
        <w:spacing w:line="360" w:lineRule="auto"/>
        <w:ind w:leftChars="200" w:right="-143" w:rightChars="-68"/>
        <w:rPr>
          <w:rFonts w:hint="default"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w:t>
      </w:r>
      <w:r>
        <w:rPr>
          <w:rFonts w:hint="default" w:asciiTheme="minorEastAsia" w:hAnsiTheme="minorEastAsia"/>
          <w:color w:val="000000" w:themeColor="text1"/>
          <w:sz w:val="24"/>
          <w:szCs w:val="24"/>
          <w:lang w:val="en-US" w:eastAsia="zh-CN"/>
          <w14:textFill>
            <w14:solidFill>
              <w14:schemeClr w14:val="tx1"/>
            </w14:solidFill>
          </w14:textFill>
        </w:rPr>
        <w:t>核心场景：开年主题活动现场、游轮公共区域（大堂、餐厅、剧院等）、客房、景点游览及导游讲解、管家服务等。</w:t>
      </w:r>
    </w:p>
    <w:p w14:paraId="0D81279C">
      <w:pPr>
        <w:pStyle w:val="19"/>
        <w:numPr>
          <w:ilvl w:val="0"/>
          <w:numId w:val="0"/>
        </w:numPr>
        <w:spacing w:line="360" w:lineRule="auto"/>
        <w:ind w:leftChars="200" w:right="-143" w:rightChars="-68"/>
        <w:rPr>
          <w:rFonts w:hint="default" w:asciiTheme="minorEastAsia" w:hAnsiTheme="minorEastAsia"/>
          <w:color w:val="000000" w:themeColor="text1"/>
          <w:sz w:val="24"/>
          <w:szCs w:val="24"/>
          <w:lang w:val="en-US" w:eastAsia="zh-CN"/>
          <w14:textFill>
            <w14:solidFill>
              <w14:schemeClr w14:val="tx1"/>
            </w14:solidFill>
          </w14:textFill>
        </w:rPr>
      </w:pPr>
      <w:r>
        <w:rPr>
          <w:rFonts w:hint="default" w:asciiTheme="minorEastAsia" w:hAnsiTheme="minorEastAsia"/>
          <w:color w:val="000000" w:themeColor="text1"/>
          <w:sz w:val="24"/>
          <w:szCs w:val="24"/>
          <w:lang w:val="en-US" w:eastAsia="zh-CN"/>
          <w14:textFill>
            <w14:solidFill>
              <w14:schemeClr w14:val="tx1"/>
            </w14:solidFill>
          </w14:textFill>
        </w:rPr>
        <w:t>互动亮点：外籍家庭参与写春联、非遗手作等主题活动；与船员、其他宾客的友好互动；在甲板欣赏三峡风光等温馨时刻。</w:t>
      </w:r>
    </w:p>
    <w:p w14:paraId="68AFEAF0">
      <w:pPr>
        <w:pStyle w:val="19"/>
        <w:numPr>
          <w:ilvl w:val="0"/>
          <w:numId w:val="0"/>
        </w:numPr>
        <w:spacing w:line="360" w:lineRule="auto"/>
        <w:ind w:leftChars="0" w:right="-143" w:rightChars="-68" w:firstLine="480" w:firstLineChars="200"/>
        <w:rPr>
          <w:rFonts w:hint="default"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color w:val="000000" w:themeColor="text1"/>
          <w:sz w:val="24"/>
          <w:szCs w:val="24"/>
          <w:u w:val="none"/>
          <w:lang w:val="en-US" w:eastAsia="zh-CN"/>
          <w14:textFill>
            <w14:solidFill>
              <w14:schemeClr w14:val="tx1"/>
            </w14:solidFill>
          </w14:textFill>
        </w:rPr>
        <w:t>（二）产出</w:t>
      </w:r>
    </w:p>
    <w:p w14:paraId="33B44C54">
      <w:pPr>
        <w:pStyle w:val="19"/>
        <w:numPr>
          <w:ilvl w:val="0"/>
          <w:numId w:val="0"/>
        </w:numPr>
        <w:spacing w:line="360" w:lineRule="auto"/>
        <w:ind w:leftChars="0" w:right="-143" w:rightChars="-68" w:firstLine="480" w:firstLineChars="200"/>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color w:val="000000" w:themeColor="text1"/>
          <w:sz w:val="24"/>
          <w:szCs w:val="24"/>
          <w:u w:val="none"/>
          <w:lang w:val="en-US" w:eastAsia="zh-CN"/>
          <w14:textFill>
            <w14:solidFill>
              <w14:schemeClr w14:val="tx1"/>
            </w14:solidFill>
          </w14:textFill>
        </w:rPr>
        <w:t>1、视频成片：1条2分钟左右的短片（中英双语）产出全行程体验素材，质感符合品牌调性展示外籍家庭在船上的完整体验，突出“新春氛围+三峡风光+游轮生活”；</w:t>
      </w:r>
    </w:p>
    <w:p w14:paraId="05EB42BF">
      <w:pPr>
        <w:pStyle w:val="19"/>
        <w:numPr>
          <w:ilvl w:val="0"/>
          <w:numId w:val="0"/>
        </w:numPr>
        <w:spacing w:line="360" w:lineRule="auto"/>
        <w:ind w:right="-143" w:rightChars="-68" w:firstLine="480" w:firstLineChars="200"/>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color w:val="000000" w:themeColor="text1"/>
          <w:sz w:val="24"/>
          <w:szCs w:val="24"/>
          <w:u w:val="none"/>
          <w:lang w:val="en-US" w:eastAsia="zh-CN"/>
          <w14:textFill>
            <w14:solidFill>
              <w14:schemeClr w14:val="tx1"/>
            </w14:solidFill>
          </w14:textFill>
        </w:rPr>
        <w:t>2、图片精修：不低于30张高品质精修图片</w:t>
      </w:r>
    </w:p>
    <w:p w14:paraId="3F250C4A">
      <w:pPr>
        <w:pStyle w:val="19"/>
        <w:numPr>
          <w:ilvl w:val="0"/>
          <w:numId w:val="0"/>
        </w:numPr>
        <w:spacing w:line="360" w:lineRule="auto"/>
        <w:ind w:leftChars="0" w:right="-143" w:rightChars="-68"/>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color w:val="000000" w:themeColor="text1"/>
          <w:sz w:val="24"/>
          <w:szCs w:val="24"/>
          <w:u w:val="none"/>
          <w:lang w:val="en-US" w:eastAsia="zh-CN"/>
          <w14:textFill>
            <w14:solidFill>
              <w14:schemeClr w14:val="tx1"/>
            </w14:solidFill>
          </w14:textFill>
        </w:rPr>
        <w:t>在游轮各场景进行定向摆拍，涵盖活动互动、家庭温馨、风景合影等，可用于官网、社媒、印刷物料；</w:t>
      </w:r>
    </w:p>
    <w:p w14:paraId="7EF15069">
      <w:pPr>
        <w:pStyle w:val="19"/>
        <w:numPr>
          <w:ilvl w:val="0"/>
          <w:numId w:val="0"/>
        </w:numPr>
        <w:spacing w:line="360" w:lineRule="auto"/>
        <w:ind w:leftChars="0" w:right="-143" w:rightChars="-68" w:firstLine="480" w:firstLineChars="200"/>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color w:val="000000" w:themeColor="text1"/>
          <w:sz w:val="24"/>
          <w:szCs w:val="24"/>
          <w:u w:val="none"/>
          <w:lang w:val="en-US" w:eastAsia="zh-CN"/>
          <w14:textFill>
            <w14:solidFill>
              <w14:schemeClr w14:val="tx1"/>
            </w14:solidFill>
          </w14:textFill>
        </w:rPr>
        <w:t>3、活动云相册：实时拍摄并上传至云相册，覆盖全船重点环节与人物；</w:t>
      </w:r>
    </w:p>
    <w:p w14:paraId="29066B51">
      <w:pPr>
        <w:pStyle w:val="19"/>
        <w:numPr>
          <w:ilvl w:val="0"/>
          <w:numId w:val="0"/>
        </w:numPr>
        <w:spacing w:line="360" w:lineRule="auto"/>
        <w:ind w:leftChars="0" w:right="-143" w:rightChars="-68" w:firstLine="480" w:firstLineChars="200"/>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color w:val="000000" w:themeColor="text1"/>
          <w:sz w:val="24"/>
          <w:szCs w:val="24"/>
          <w:u w:val="none"/>
          <w:lang w:val="en-US" w:eastAsia="zh-CN"/>
          <w14:textFill>
            <w14:solidFill>
              <w14:schemeClr w14:val="tx1"/>
            </w14:solidFill>
          </w14:textFill>
        </w:rPr>
        <w:t>4、素材积累：视频与图片原始素材总量不低于80GB（要求分类清晰），优质素材可持续用于官网、海外社媒、旅展等多场景需求；</w:t>
      </w:r>
    </w:p>
    <w:p w14:paraId="00B48071">
      <w:pPr>
        <w:pStyle w:val="19"/>
        <w:numPr>
          <w:ilvl w:val="0"/>
          <w:numId w:val="0"/>
        </w:numPr>
        <w:spacing w:line="360" w:lineRule="auto"/>
        <w:ind w:leftChars="0" w:right="-143" w:rightChars="-68" w:firstLine="480" w:firstLineChars="200"/>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u w:val="none"/>
          <w:lang w:val="en-US" w:eastAsia="zh-CN"/>
          <w14:textFill>
            <w14:solidFill>
              <w14:schemeClr w14:val="tx1"/>
            </w14:solidFill>
          </w14:textFill>
        </w:rPr>
        <w:t>5、拍摄时间：2026年1月30日—2月2日开年主题航次。</w:t>
      </w:r>
    </w:p>
    <w:p w14:paraId="752AF7AB">
      <w:pPr>
        <w:pStyle w:val="19"/>
        <w:spacing w:line="360" w:lineRule="auto"/>
        <w:ind w:left="426" w:right="-143" w:rightChars="-68" w:firstLine="0" w:firstLineChars="0"/>
        <w:rPr>
          <w:rFonts w:asciiTheme="minorEastAsia" w:hAnsiTheme="minorEastAsia"/>
          <w:color w:val="auto"/>
          <w:sz w:val="24"/>
          <w:szCs w:val="24"/>
        </w:rPr>
      </w:pPr>
    </w:p>
    <w:p w14:paraId="3452C195">
      <w:pPr>
        <w:pStyle w:val="19"/>
        <w:widowControl/>
        <w:numPr>
          <w:ilvl w:val="0"/>
          <w:numId w:val="1"/>
        </w:numPr>
        <w:shd w:val="clear" w:color="auto" w:fill="FFFFFF"/>
        <w:spacing w:line="360" w:lineRule="auto"/>
        <w:ind w:firstLineChars="0"/>
        <w:outlineLvl w:val="1"/>
        <w:rPr>
          <w:rFonts w:cs="Arial" w:asciiTheme="minorEastAsia" w:hAnsiTheme="minorEastAsia"/>
          <w:b/>
          <w:color w:val="auto"/>
          <w:kern w:val="0"/>
          <w:sz w:val="32"/>
          <w:szCs w:val="32"/>
        </w:rPr>
      </w:pPr>
      <w:bookmarkStart w:id="4" w:name="_Toc79576675"/>
      <w:bookmarkEnd w:id="4"/>
      <w:bookmarkStart w:id="5" w:name="_Toc12609204"/>
      <w:bookmarkEnd w:id="5"/>
      <w:bookmarkStart w:id="6" w:name="_Toc407135051"/>
      <w:bookmarkEnd w:id="6"/>
      <w:r>
        <w:rPr>
          <w:rFonts w:hint="eastAsia" w:cs="Arial" w:asciiTheme="minorEastAsia" w:hAnsiTheme="minorEastAsia"/>
          <w:b/>
          <w:color w:val="auto"/>
          <w:kern w:val="0"/>
          <w:sz w:val="32"/>
          <w:szCs w:val="32"/>
        </w:rPr>
        <w:t>投标人资格要求</w:t>
      </w:r>
    </w:p>
    <w:p w14:paraId="04CF43AC">
      <w:pPr>
        <w:pStyle w:val="19"/>
        <w:numPr>
          <w:ilvl w:val="0"/>
          <w:numId w:val="5"/>
        </w:numPr>
        <w:spacing w:line="360" w:lineRule="auto"/>
        <w:ind w:left="426" w:right="-143" w:rightChars="-68" w:hanging="426" w:firstLineChars="0"/>
        <w:rPr>
          <w:rFonts w:asciiTheme="minorEastAsia" w:hAnsiTheme="minorEastAsia"/>
          <w:color w:val="auto"/>
          <w:sz w:val="24"/>
          <w:szCs w:val="24"/>
        </w:rPr>
      </w:pPr>
      <w:r>
        <w:rPr>
          <w:rFonts w:hint="eastAsia" w:asciiTheme="minorEastAsia" w:hAnsiTheme="minorEastAsia"/>
          <w:color w:val="auto"/>
          <w:sz w:val="24"/>
          <w:szCs w:val="24"/>
        </w:rPr>
        <w:t>具有独立承担民事责任的能力</w:t>
      </w:r>
      <w:r>
        <w:rPr>
          <w:rFonts w:hint="eastAsia" w:asciiTheme="minorEastAsia" w:hAnsiTheme="minorEastAsia"/>
          <w:color w:val="auto"/>
          <w:sz w:val="24"/>
          <w:szCs w:val="24"/>
          <w:lang w:eastAsia="zh-CN"/>
        </w:rPr>
        <w:t xml:space="preserve"> （营业执照、纳税人资质、注册资本及认缴实缴等）</w:t>
      </w:r>
      <w:r>
        <w:rPr>
          <w:rFonts w:hint="eastAsia" w:asciiTheme="minorEastAsia" w:hAnsiTheme="minorEastAsia"/>
          <w:color w:val="auto"/>
          <w:sz w:val="24"/>
          <w:szCs w:val="24"/>
        </w:rPr>
        <w:t>；</w:t>
      </w:r>
    </w:p>
    <w:p w14:paraId="0E002101">
      <w:pPr>
        <w:pStyle w:val="19"/>
        <w:numPr>
          <w:ilvl w:val="0"/>
          <w:numId w:val="5"/>
        </w:numPr>
        <w:spacing w:line="360" w:lineRule="auto"/>
        <w:ind w:left="0" w:right="-143" w:rightChars="-68" w:firstLine="0" w:firstLineChars="0"/>
        <w:rPr>
          <w:rFonts w:asciiTheme="minorEastAsia" w:hAnsiTheme="minorEastAsia"/>
          <w:color w:val="auto"/>
          <w:sz w:val="24"/>
          <w:szCs w:val="24"/>
        </w:rPr>
      </w:pPr>
      <w:r>
        <w:rPr>
          <w:rFonts w:hint="eastAsia" w:asciiTheme="minorEastAsia" w:hAnsiTheme="minorEastAsia"/>
          <w:color w:val="auto"/>
          <w:sz w:val="24"/>
          <w:szCs w:val="24"/>
        </w:rPr>
        <w:t>具有履行合同所</w:t>
      </w:r>
      <w:r>
        <w:rPr>
          <w:rFonts w:hint="eastAsia" w:asciiTheme="minorEastAsia" w:hAnsiTheme="minorEastAsia"/>
          <w:color w:val="auto"/>
          <w:sz w:val="24"/>
          <w:szCs w:val="24"/>
          <w:lang w:eastAsia="zh-CN"/>
        </w:rPr>
        <w:t>必需的</w:t>
      </w:r>
      <w:r>
        <w:rPr>
          <w:rFonts w:hint="eastAsia" w:asciiTheme="minorEastAsia" w:hAnsiTheme="minorEastAsia"/>
          <w:color w:val="auto"/>
          <w:sz w:val="24"/>
          <w:szCs w:val="24"/>
        </w:rPr>
        <w:t>设备和专业技术能力；</w:t>
      </w:r>
    </w:p>
    <w:p w14:paraId="214ACB34">
      <w:pPr>
        <w:pStyle w:val="19"/>
        <w:numPr>
          <w:ilvl w:val="0"/>
          <w:numId w:val="5"/>
        </w:numPr>
        <w:spacing w:line="360" w:lineRule="auto"/>
        <w:ind w:left="0" w:right="-143" w:rightChars="-68" w:firstLine="0" w:firstLineChars="0"/>
        <w:rPr>
          <w:rFonts w:asciiTheme="minorEastAsia" w:hAnsiTheme="minorEastAsia"/>
          <w:color w:val="auto"/>
          <w:sz w:val="24"/>
          <w:szCs w:val="24"/>
        </w:rPr>
      </w:pPr>
      <w:r>
        <w:rPr>
          <w:rFonts w:hint="eastAsia" w:asciiTheme="minorEastAsia" w:hAnsiTheme="minorEastAsia"/>
          <w:color w:val="auto"/>
          <w:sz w:val="24"/>
          <w:szCs w:val="24"/>
        </w:rPr>
        <w:t>有依法缴纳税收和社会保障资金的良好记录；</w:t>
      </w:r>
    </w:p>
    <w:p w14:paraId="2E015BC8">
      <w:pPr>
        <w:pStyle w:val="19"/>
        <w:numPr>
          <w:ilvl w:val="0"/>
          <w:numId w:val="5"/>
        </w:numPr>
        <w:spacing w:line="360" w:lineRule="auto"/>
        <w:ind w:left="0" w:right="-143" w:rightChars="-68" w:firstLine="0" w:firstLineChars="0"/>
        <w:rPr>
          <w:rFonts w:asciiTheme="minorEastAsia" w:hAnsiTheme="minorEastAsia"/>
          <w:b/>
          <w:bCs/>
          <w:color w:val="auto"/>
          <w:sz w:val="24"/>
          <w:szCs w:val="24"/>
        </w:rPr>
      </w:pPr>
      <w:r>
        <w:rPr>
          <w:rFonts w:hint="eastAsia" w:asciiTheme="minorEastAsia" w:hAnsiTheme="minorEastAsia"/>
          <w:b/>
          <w:bCs/>
          <w:color w:val="auto"/>
          <w:sz w:val="24"/>
          <w:szCs w:val="24"/>
        </w:rPr>
        <w:t>公司成立两年及以上，提供增值税专用发票；</w:t>
      </w:r>
    </w:p>
    <w:p w14:paraId="02BB2470">
      <w:pPr>
        <w:pStyle w:val="19"/>
        <w:numPr>
          <w:ilvl w:val="0"/>
          <w:numId w:val="5"/>
        </w:numPr>
        <w:spacing w:line="360" w:lineRule="auto"/>
        <w:ind w:left="0" w:right="-143" w:rightChars="-68" w:firstLine="0" w:firstLineChars="0"/>
        <w:rPr>
          <w:rFonts w:asciiTheme="minorEastAsia" w:hAnsiTheme="minorEastAsia"/>
          <w:color w:val="auto"/>
          <w:sz w:val="24"/>
          <w:szCs w:val="24"/>
        </w:rPr>
      </w:pPr>
      <w:r>
        <w:rPr>
          <w:rFonts w:hint="eastAsia" w:asciiTheme="minorEastAsia" w:hAnsiTheme="minorEastAsia"/>
          <w:color w:val="auto"/>
          <w:sz w:val="24"/>
          <w:szCs w:val="24"/>
        </w:rPr>
        <w:t>过去三年在企业经营中没有重大违法记录及民事纠纷；</w:t>
      </w:r>
    </w:p>
    <w:p w14:paraId="5577F209">
      <w:pPr>
        <w:pStyle w:val="19"/>
        <w:numPr>
          <w:ilvl w:val="0"/>
          <w:numId w:val="5"/>
        </w:numPr>
        <w:spacing w:line="360" w:lineRule="auto"/>
        <w:ind w:left="0" w:right="-143" w:rightChars="-68" w:firstLine="0" w:firstLineChars="0"/>
        <w:rPr>
          <w:rFonts w:asciiTheme="minorEastAsia" w:hAnsiTheme="minorEastAsia"/>
          <w:color w:val="auto"/>
          <w:sz w:val="24"/>
          <w:szCs w:val="24"/>
        </w:rPr>
      </w:pPr>
      <w:r>
        <w:rPr>
          <w:rFonts w:ascii="宋体" w:hAnsi="宋体" w:eastAsia="宋体" w:cs="宋体"/>
          <w:color w:val="auto"/>
          <w:sz w:val="24"/>
          <w:szCs w:val="24"/>
        </w:rPr>
        <w:t>投标人提交的本公司业绩情况及成功案例必须真实，甲方可根据需求进行实地考查。</w:t>
      </w:r>
    </w:p>
    <w:p w14:paraId="01166649">
      <w:pPr>
        <w:widowControl/>
        <w:shd w:val="clear" w:color="auto" w:fill="FFFFFF"/>
        <w:spacing w:line="360" w:lineRule="auto"/>
        <w:jc w:val="left"/>
        <w:rPr>
          <w:rFonts w:cs="Arial" w:asciiTheme="minorEastAsia" w:hAnsiTheme="minorEastAsia"/>
          <w:color w:val="auto"/>
          <w:kern w:val="0"/>
          <w:sz w:val="28"/>
          <w:szCs w:val="28"/>
        </w:rPr>
      </w:pPr>
      <w:bookmarkStart w:id="7" w:name="_Toc59873842"/>
      <w:bookmarkStart w:id="8" w:name="_Toc59873786"/>
      <w:bookmarkStart w:id="9" w:name="_Toc59855917"/>
      <w:bookmarkStart w:id="10" w:name="_Toc56572780"/>
      <w:bookmarkStart w:id="11" w:name="_Toc79576676"/>
    </w:p>
    <w:p w14:paraId="7AE3DD33">
      <w:pPr>
        <w:pStyle w:val="19"/>
        <w:widowControl/>
        <w:numPr>
          <w:ilvl w:val="0"/>
          <w:numId w:val="1"/>
        </w:numPr>
        <w:shd w:val="clear" w:color="auto" w:fill="FFFFFF"/>
        <w:spacing w:line="360" w:lineRule="auto"/>
        <w:ind w:firstLineChars="0"/>
        <w:jc w:val="left"/>
        <w:outlineLvl w:val="1"/>
        <w:rPr>
          <w:rFonts w:cs="Arial" w:asciiTheme="minorEastAsia" w:hAnsiTheme="minorEastAsia"/>
          <w:b/>
          <w:color w:val="auto"/>
          <w:kern w:val="0"/>
          <w:sz w:val="32"/>
          <w:szCs w:val="32"/>
        </w:rPr>
      </w:pPr>
      <w:r>
        <w:rPr>
          <w:rFonts w:hint="eastAsia" w:cs="Arial" w:asciiTheme="minorEastAsia" w:hAnsiTheme="minorEastAsia"/>
          <w:b/>
          <w:color w:val="auto"/>
          <w:kern w:val="0"/>
          <w:sz w:val="32"/>
          <w:szCs w:val="32"/>
        </w:rPr>
        <w:t>投标文件的组成</w:t>
      </w:r>
      <w:bookmarkEnd w:id="7"/>
      <w:bookmarkEnd w:id="8"/>
      <w:bookmarkEnd w:id="9"/>
      <w:bookmarkEnd w:id="10"/>
    </w:p>
    <w:p w14:paraId="433B6DB4">
      <w:pPr>
        <w:spacing w:line="360" w:lineRule="auto"/>
        <w:ind w:firstLine="424" w:firstLineChars="177"/>
        <w:rPr>
          <w:rFonts w:asciiTheme="minorEastAsia" w:hAnsiTheme="minorEastAsia"/>
          <w:color w:val="auto"/>
          <w:sz w:val="24"/>
          <w:szCs w:val="24"/>
        </w:rPr>
      </w:pPr>
      <w:r>
        <w:rPr>
          <w:rFonts w:hint="eastAsia" w:asciiTheme="minorEastAsia" w:hAnsiTheme="minorEastAsia"/>
          <w:color w:val="auto"/>
          <w:sz w:val="24"/>
          <w:szCs w:val="24"/>
        </w:rPr>
        <w:t>投标文件由技术资信文件、报价文件</w:t>
      </w:r>
      <w:r>
        <w:rPr>
          <w:rFonts w:hint="eastAsia" w:asciiTheme="minorEastAsia" w:hAnsiTheme="minorEastAsia"/>
          <w:color w:val="auto"/>
          <w:sz w:val="24"/>
          <w:szCs w:val="24"/>
          <w:lang w:eastAsia="zh-CN"/>
        </w:rPr>
        <w:t>两</w:t>
      </w:r>
      <w:r>
        <w:rPr>
          <w:rFonts w:hint="eastAsia" w:asciiTheme="minorEastAsia" w:hAnsiTheme="minorEastAsia"/>
          <w:color w:val="auto"/>
          <w:sz w:val="24"/>
          <w:szCs w:val="24"/>
        </w:rPr>
        <w:t>部分组成</w:t>
      </w:r>
      <w:r>
        <w:rPr>
          <w:rFonts w:hint="eastAsia" w:asciiTheme="minorEastAsia" w:hAnsiTheme="minorEastAsia"/>
          <w:color w:val="auto"/>
          <w:sz w:val="24"/>
          <w:szCs w:val="24"/>
          <w:lang w:eastAsia="zh-CN"/>
        </w:rPr>
        <w:t>，均需加盖鲜章</w:t>
      </w:r>
      <w:r>
        <w:rPr>
          <w:rFonts w:hint="eastAsia" w:asciiTheme="minorEastAsia" w:hAnsiTheme="minorEastAsia"/>
          <w:color w:val="auto"/>
          <w:sz w:val="24"/>
          <w:szCs w:val="24"/>
        </w:rPr>
        <w:t>。</w:t>
      </w:r>
    </w:p>
    <w:p w14:paraId="12EAEEA3">
      <w:pPr>
        <w:pStyle w:val="19"/>
        <w:numPr>
          <w:ilvl w:val="0"/>
          <w:numId w:val="6"/>
        </w:numPr>
        <w:spacing w:line="360" w:lineRule="auto"/>
        <w:ind w:firstLineChars="0"/>
        <w:rPr>
          <w:rFonts w:cs="宋体" w:asciiTheme="minorEastAsia" w:hAnsiTheme="minorEastAsia"/>
          <w:b/>
          <w:bCs/>
          <w:color w:val="auto"/>
          <w:sz w:val="24"/>
        </w:rPr>
      </w:pPr>
      <w:r>
        <w:rPr>
          <w:rFonts w:hint="eastAsia" w:cs="宋体" w:asciiTheme="minorEastAsia" w:hAnsiTheme="minorEastAsia"/>
          <w:b/>
          <w:bCs/>
          <w:color w:val="auto"/>
          <w:sz w:val="24"/>
        </w:rPr>
        <w:t>技术资信文件（不含报价）：</w:t>
      </w:r>
    </w:p>
    <w:p w14:paraId="168B69C0">
      <w:pPr>
        <w:pStyle w:val="19"/>
        <w:numPr>
          <w:ilvl w:val="0"/>
          <w:numId w:val="7"/>
        </w:numPr>
        <w:snapToGrid w:val="0"/>
        <w:spacing w:line="360" w:lineRule="auto"/>
        <w:ind w:firstLine="6" w:firstLineChars="0"/>
        <w:rPr>
          <w:rStyle w:val="24"/>
          <w:rFonts w:hint="eastAsia" w:eastAsia="宋体" w:cs="宋体" w:asciiTheme="minorEastAsia" w:hAnsiTheme="minorEastAsia"/>
          <w:color w:val="auto"/>
          <w:lang w:val="zh-CN"/>
        </w:rPr>
      </w:pPr>
      <w:r>
        <w:rPr>
          <w:rStyle w:val="24"/>
          <w:rFonts w:hint="eastAsia" w:eastAsia="宋体" w:cs="宋体" w:asciiTheme="minorEastAsia" w:hAnsiTheme="minorEastAsia"/>
          <w:color w:val="auto"/>
          <w:lang w:val="zh-CN"/>
        </w:rPr>
        <w:t>法定代表人授权委托书；</w:t>
      </w:r>
    </w:p>
    <w:p w14:paraId="2054D5E1">
      <w:pPr>
        <w:pStyle w:val="19"/>
        <w:numPr>
          <w:ilvl w:val="0"/>
          <w:numId w:val="7"/>
        </w:numPr>
        <w:snapToGrid w:val="0"/>
        <w:spacing w:line="360" w:lineRule="auto"/>
        <w:ind w:firstLine="6" w:firstLineChars="0"/>
        <w:rPr>
          <w:rStyle w:val="24"/>
          <w:rFonts w:hint="eastAsia" w:eastAsia="宋体" w:cs="宋体" w:asciiTheme="minorEastAsia" w:hAnsiTheme="minorEastAsia"/>
          <w:color w:val="auto"/>
          <w:lang w:val="zh-CN"/>
        </w:rPr>
      </w:pPr>
      <w:r>
        <w:rPr>
          <w:rStyle w:val="24"/>
          <w:rFonts w:hint="eastAsia" w:eastAsia="宋体" w:cs="宋体" w:asciiTheme="minorEastAsia" w:hAnsiTheme="minorEastAsia"/>
          <w:color w:val="auto"/>
          <w:lang w:val="zh-CN"/>
        </w:rPr>
        <w:t>企业法人营业执照副本复印件；</w:t>
      </w:r>
    </w:p>
    <w:p w14:paraId="0F8D84F5">
      <w:pPr>
        <w:pStyle w:val="19"/>
        <w:numPr>
          <w:ilvl w:val="0"/>
          <w:numId w:val="7"/>
        </w:numPr>
        <w:snapToGrid w:val="0"/>
        <w:spacing w:line="360" w:lineRule="auto"/>
        <w:ind w:firstLine="6" w:firstLineChars="0"/>
        <w:rPr>
          <w:rStyle w:val="24"/>
          <w:rFonts w:hint="eastAsia" w:eastAsia="宋体" w:cs="宋体" w:asciiTheme="minorEastAsia" w:hAnsiTheme="minorEastAsia"/>
          <w:color w:val="auto"/>
          <w:lang w:val="zh-CN"/>
        </w:rPr>
      </w:pPr>
      <w:r>
        <w:rPr>
          <w:rStyle w:val="24"/>
          <w:rFonts w:hint="eastAsia" w:eastAsia="宋体" w:cs="宋体" w:asciiTheme="minorEastAsia" w:hAnsiTheme="minorEastAsia"/>
          <w:color w:val="auto"/>
          <w:lang w:val="zh-CN"/>
        </w:rPr>
        <w:t>供应商的基本情况介绍及</w:t>
      </w:r>
      <w:r>
        <w:rPr>
          <w:rStyle w:val="24"/>
          <w:rFonts w:hint="eastAsia" w:eastAsia="宋体" w:cs="宋体" w:asciiTheme="minorEastAsia" w:hAnsiTheme="minorEastAsia"/>
          <w:color w:val="auto"/>
          <w:lang w:val="en-US" w:eastAsia="zh-CN"/>
        </w:rPr>
        <w:t>荣誉</w:t>
      </w:r>
      <w:r>
        <w:rPr>
          <w:rStyle w:val="24"/>
          <w:rFonts w:hint="eastAsia" w:eastAsia="宋体" w:cs="宋体" w:asciiTheme="minorEastAsia" w:hAnsiTheme="minorEastAsia"/>
          <w:color w:val="auto"/>
          <w:lang w:val="zh-CN"/>
        </w:rPr>
        <w:t>；</w:t>
      </w:r>
    </w:p>
    <w:p w14:paraId="738916D5">
      <w:pPr>
        <w:pStyle w:val="19"/>
        <w:numPr>
          <w:ilvl w:val="0"/>
          <w:numId w:val="7"/>
        </w:numPr>
        <w:snapToGrid w:val="0"/>
        <w:spacing w:line="360" w:lineRule="auto"/>
        <w:ind w:firstLine="6" w:firstLineChars="0"/>
        <w:rPr>
          <w:rStyle w:val="24"/>
          <w:rFonts w:hint="eastAsia" w:eastAsia="宋体" w:cs="宋体" w:asciiTheme="minorEastAsia" w:hAnsiTheme="minorEastAsia"/>
          <w:color w:val="auto"/>
          <w:lang w:val="zh-CN"/>
        </w:rPr>
      </w:pPr>
      <w:r>
        <w:rPr>
          <w:rStyle w:val="24"/>
          <w:rFonts w:hint="eastAsia" w:eastAsia="宋体" w:cs="宋体" w:asciiTheme="minorEastAsia" w:hAnsiTheme="minorEastAsia"/>
          <w:color w:val="auto"/>
          <w:lang w:val="zh-CN"/>
        </w:rPr>
        <w:t>企业信用公示系统的报告</w:t>
      </w:r>
      <w:r>
        <w:rPr>
          <w:rStyle w:val="24"/>
          <w:rFonts w:hint="eastAsia" w:eastAsia="宋体" w:cs="宋体" w:asciiTheme="minorEastAsia" w:hAnsiTheme="minorEastAsia"/>
          <w:color w:val="auto"/>
          <w:lang w:val="zh-CN" w:eastAsia="zh-CN"/>
        </w:rPr>
        <w:t>；</w:t>
      </w:r>
    </w:p>
    <w:p w14:paraId="5B7C28CC">
      <w:pPr>
        <w:pStyle w:val="19"/>
        <w:numPr>
          <w:ilvl w:val="0"/>
          <w:numId w:val="7"/>
        </w:numPr>
        <w:snapToGrid w:val="0"/>
        <w:spacing w:line="360" w:lineRule="auto"/>
        <w:ind w:firstLine="6" w:firstLineChars="0"/>
        <w:rPr>
          <w:rStyle w:val="24"/>
          <w:rFonts w:hint="eastAsia" w:eastAsia="宋体" w:cs="宋体" w:asciiTheme="minorEastAsia" w:hAnsiTheme="minorEastAsia"/>
          <w:color w:val="auto"/>
          <w:lang w:val="zh-CN"/>
        </w:rPr>
      </w:pPr>
      <w:r>
        <w:rPr>
          <w:rStyle w:val="24"/>
          <w:rFonts w:hint="eastAsia" w:eastAsia="宋体" w:cs="宋体" w:asciiTheme="minorEastAsia" w:hAnsiTheme="minorEastAsia"/>
          <w:b/>
          <w:bCs/>
          <w:color w:val="auto"/>
          <w:lang w:val="zh-CN"/>
        </w:rPr>
        <w:t>项目实施方案</w:t>
      </w:r>
      <w:r>
        <w:rPr>
          <w:rStyle w:val="24"/>
          <w:rFonts w:hint="eastAsia" w:eastAsia="宋体" w:cs="宋体" w:asciiTheme="minorEastAsia" w:hAnsiTheme="minorEastAsia"/>
          <w:color w:val="auto"/>
          <w:lang w:val="zh-CN"/>
        </w:rPr>
        <w:t>；</w:t>
      </w:r>
    </w:p>
    <w:p w14:paraId="7F65E23D">
      <w:pPr>
        <w:pStyle w:val="19"/>
        <w:numPr>
          <w:ilvl w:val="0"/>
          <w:numId w:val="7"/>
        </w:numPr>
        <w:snapToGrid w:val="0"/>
        <w:spacing w:line="360" w:lineRule="auto"/>
        <w:ind w:firstLine="6" w:firstLineChars="0"/>
        <w:rPr>
          <w:rStyle w:val="24"/>
          <w:rFonts w:hint="eastAsia" w:eastAsia="宋体" w:cs="宋体" w:asciiTheme="minorEastAsia" w:hAnsiTheme="minorEastAsia"/>
          <w:color w:val="auto"/>
          <w:lang w:val="zh-TW"/>
        </w:rPr>
      </w:pPr>
      <w:r>
        <w:rPr>
          <w:rStyle w:val="24"/>
          <w:rFonts w:hint="eastAsia" w:eastAsia="宋体" w:cs="宋体" w:asciiTheme="minorEastAsia" w:hAnsiTheme="minorEastAsia"/>
          <w:color w:val="auto"/>
          <w:lang w:val="zh-CN"/>
        </w:rPr>
        <w:t>同类项目</w:t>
      </w:r>
      <w:r>
        <w:rPr>
          <w:rStyle w:val="24"/>
          <w:rFonts w:hint="eastAsia" w:eastAsia="宋体" w:cs="宋体" w:asciiTheme="minorEastAsia" w:hAnsiTheme="minorEastAsia"/>
          <w:color w:val="auto"/>
          <w:lang w:val="zh-TW"/>
        </w:rPr>
        <w:t>业绩</w:t>
      </w:r>
      <w:r>
        <w:rPr>
          <w:rStyle w:val="24"/>
          <w:rFonts w:hint="eastAsia" w:eastAsia="宋体" w:cs="宋体" w:asciiTheme="minorEastAsia" w:hAnsiTheme="minorEastAsia"/>
          <w:color w:val="auto"/>
          <w:lang w:val="zh-TW" w:eastAsia="zh-CN"/>
        </w:rPr>
        <w:t>和</w:t>
      </w:r>
      <w:r>
        <w:rPr>
          <w:rStyle w:val="24"/>
          <w:rFonts w:hint="eastAsia" w:eastAsia="宋体" w:cs="宋体" w:asciiTheme="minorEastAsia" w:hAnsiTheme="minorEastAsia"/>
          <w:color w:val="auto"/>
          <w:lang w:val="zh-CN"/>
        </w:rPr>
        <w:t>项目结案报告并加盖供应商鲜章</w:t>
      </w:r>
      <w:r>
        <w:rPr>
          <w:rStyle w:val="24"/>
          <w:rFonts w:hint="eastAsia" w:eastAsia="宋体" w:cs="宋体" w:asciiTheme="minorEastAsia" w:hAnsiTheme="minorEastAsia"/>
          <w:color w:val="auto"/>
          <w:lang w:val="zh-TW"/>
        </w:rPr>
        <w:t>；</w:t>
      </w:r>
    </w:p>
    <w:p w14:paraId="3D1A2C69">
      <w:pPr>
        <w:pStyle w:val="19"/>
        <w:numPr>
          <w:ilvl w:val="0"/>
          <w:numId w:val="7"/>
        </w:numPr>
        <w:snapToGrid w:val="0"/>
        <w:spacing w:line="360" w:lineRule="auto"/>
        <w:ind w:firstLine="6" w:firstLineChars="0"/>
        <w:rPr>
          <w:rStyle w:val="24"/>
          <w:rFonts w:hint="eastAsia" w:eastAsia="宋体" w:cs="宋体" w:asciiTheme="minorEastAsia" w:hAnsiTheme="minorEastAsia"/>
          <w:color w:val="auto"/>
          <w:lang w:val="zh-CN"/>
        </w:rPr>
      </w:pPr>
      <w:r>
        <w:rPr>
          <w:rStyle w:val="24"/>
          <w:rFonts w:hint="eastAsia" w:eastAsia="宋体" w:cs="宋体" w:asciiTheme="minorEastAsia" w:hAnsiTheme="minorEastAsia"/>
          <w:color w:val="auto"/>
          <w:lang w:val="zh-CN"/>
        </w:rPr>
        <w:t>评分规则中涉及的所需提供的资料；</w:t>
      </w:r>
    </w:p>
    <w:p w14:paraId="727DA342">
      <w:pPr>
        <w:pStyle w:val="19"/>
        <w:numPr>
          <w:ilvl w:val="0"/>
          <w:numId w:val="7"/>
        </w:numPr>
        <w:snapToGrid w:val="0"/>
        <w:spacing w:line="360" w:lineRule="auto"/>
        <w:ind w:firstLine="6" w:firstLineChars="0"/>
        <w:rPr>
          <w:rStyle w:val="24"/>
          <w:rFonts w:hint="eastAsia" w:eastAsia="宋体" w:cs="宋体" w:asciiTheme="minorEastAsia" w:hAnsiTheme="minorEastAsia"/>
          <w:b/>
          <w:bCs/>
          <w:color w:val="auto"/>
          <w:lang w:val="zh-CN"/>
        </w:rPr>
      </w:pPr>
      <w:r>
        <w:rPr>
          <w:rStyle w:val="24"/>
          <w:rFonts w:hint="eastAsia" w:eastAsia="宋体" w:cs="宋体" w:asciiTheme="minorEastAsia" w:hAnsiTheme="minorEastAsia"/>
          <w:b/>
          <w:bCs/>
          <w:color w:val="auto"/>
          <w:lang w:val="zh-CN" w:eastAsia="zh-CN"/>
        </w:rPr>
        <w:t>项目</w:t>
      </w:r>
      <w:r>
        <w:rPr>
          <w:rStyle w:val="24"/>
          <w:rFonts w:hint="eastAsia" w:eastAsia="宋体" w:cs="宋体" w:asciiTheme="minorEastAsia" w:hAnsiTheme="minorEastAsia"/>
          <w:b/>
          <w:bCs/>
          <w:color w:val="auto"/>
          <w:lang w:val="zh-CN"/>
        </w:rPr>
        <w:t>联系人</w:t>
      </w:r>
      <w:r>
        <w:rPr>
          <w:rStyle w:val="24"/>
          <w:rFonts w:hint="eastAsia" w:eastAsia="宋体" w:cs="宋体" w:asciiTheme="minorEastAsia" w:hAnsiTheme="minorEastAsia"/>
          <w:b/>
          <w:bCs/>
          <w:color w:val="auto"/>
          <w:lang w:val="zh-CN" w:eastAsia="zh-CN"/>
        </w:rPr>
        <w:t>及联系方式；</w:t>
      </w:r>
    </w:p>
    <w:p w14:paraId="7DB9661D">
      <w:pPr>
        <w:pStyle w:val="19"/>
        <w:numPr>
          <w:ilvl w:val="0"/>
          <w:numId w:val="7"/>
        </w:numPr>
        <w:snapToGrid w:val="0"/>
        <w:spacing w:line="360" w:lineRule="auto"/>
        <w:ind w:firstLine="6" w:firstLineChars="0"/>
        <w:rPr>
          <w:rStyle w:val="24"/>
          <w:rFonts w:hint="eastAsia" w:eastAsia="宋体" w:cs="宋体" w:asciiTheme="minorEastAsia" w:hAnsiTheme="minorEastAsia"/>
          <w:color w:val="auto"/>
          <w:lang w:val="zh-CN"/>
        </w:rPr>
      </w:pPr>
      <w:r>
        <w:rPr>
          <w:rStyle w:val="24"/>
          <w:rFonts w:hint="eastAsia" w:eastAsia="宋体" w:cs="宋体" w:asciiTheme="minorEastAsia" w:hAnsiTheme="minorEastAsia"/>
          <w:color w:val="auto"/>
          <w:lang w:val="zh-CN"/>
        </w:rPr>
        <w:t>供应商需要说明的其他文件。</w:t>
      </w:r>
    </w:p>
    <w:p w14:paraId="0F25B7CF">
      <w:pPr>
        <w:pStyle w:val="19"/>
        <w:numPr>
          <w:ilvl w:val="0"/>
          <w:numId w:val="6"/>
        </w:numPr>
        <w:spacing w:line="360" w:lineRule="auto"/>
        <w:ind w:firstLineChars="0"/>
        <w:rPr>
          <w:rFonts w:cs="宋体" w:asciiTheme="minorEastAsia" w:hAnsiTheme="minorEastAsia"/>
          <w:b/>
          <w:bCs/>
          <w:color w:val="auto"/>
          <w:sz w:val="24"/>
        </w:rPr>
      </w:pPr>
      <w:r>
        <w:rPr>
          <w:rFonts w:hint="eastAsia" w:cs="宋体" w:asciiTheme="minorEastAsia" w:hAnsiTheme="minorEastAsia"/>
          <w:b/>
          <w:bCs/>
          <w:color w:val="auto"/>
          <w:sz w:val="24"/>
        </w:rPr>
        <w:t>报价文件：</w:t>
      </w:r>
    </w:p>
    <w:p w14:paraId="7C670770">
      <w:pPr>
        <w:pStyle w:val="19"/>
        <w:numPr>
          <w:ilvl w:val="0"/>
          <w:numId w:val="8"/>
        </w:numPr>
        <w:snapToGrid w:val="0"/>
        <w:spacing w:line="360" w:lineRule="auto"/>
        <w:ind w:firstLine="6" w:firstLineChars="0"/>
        <w:rPr>
          <w:rStyle w:val="24"/>
          <w:rFonts w:asciiTheme="minorEastAsia" w:hAnsiTheme="minorEastAsia"/>
          <w:color w:val="auto"/>
          <w:lang w:val="zh-CN"/>
        </w:rPr>
      </w:pPr>
      <w:r>
        <w:rPr>
          <w:rStyle w:val="24"/>
          <w:rFonts w:hint="eastAsia" w:asciiTheme="minorEastAsia" w:hAnsiTheme="minorEastAsia"/>
          <w:b/>
          <w:bCs/>
          <w:color w:val="auto"/>
          <w:lang w:val="zh-CN"/>
        </w:rPr>
        <w:t>项目报价表（</w:t>
      </w:r>
      <w:r>
        <w:rPr>
          <w:rStyle w:val="24"/>
          <w:rFonts w:hint="eastAsia" w:asciiTheme="minorEastAsia" w:hAnsiTheme="minorEastAsia"/>
          <w:b/>
          <w:bCs/>
          <w:color w:val="auto"/>
          <w:lang w:val="en-US" w:eastAsia="zh-CN"/>
        </w:rPr>
        <w:t>无标准格式模板，各投标单位自行提报</w:t>
      </w:r>
      <w:r>
        <w:rPr>
          <w:rStyle w:val="24"/>
          <w:rFonts w:hint="eastAsia" w:asciiTheme="minorEastAsia" w:hAnsiTheme="minorEastAsia"/>
          <w:b/>
          <w:bCs/>
          <w:color w:val="auto"/>
          <w:lang w:val="zh-CN"/>
        </w:rPr>
        <w:t>）</w:t>
      </w:r>
      <w:r>
        <w:rPr>
          <w:rStyle w:val="24"/>
          <w:rFonts w:hint="eastAsia" w:asciiTheme="minorEastAsia" w:hAnsiTheme="minorEastAsia"/>
          <w:color w:val="auto"/>
          <w:lang w:val="zh-CN"/>
        </w:rPr>
        <w:t>；</w:t>
      </w:r>
    </w:p>
    <w:p w14:paraId="0F450040">
      <w:pPr>
        <w:pStyle w:val="19"/>
        <w:numPr>
          <w:ilvl w:val="0"/>
          <w:numId w:val="8"/>
        </w:numPr>
        <w:snapToGrid w:val="0"/>
        <w:spacing w:line="360" w:lineRule="auto"/>
        <w:ind w:firstLine="6" w:firstLineChars="0"/>
        <w:rPr>
          <w:rStyle w:val="24"/>
          <w:rFonts w:asciiTheme="minorEastAsia" w:hAnsiTheme="minorEastAsia"/>
          <w:color w:val="auto"/>
          <w:lang w:val="zh-CN"/>
        </w:rPr>
      </w:pPr>
      <w:r>
        <w:rPr>
          <w:rStyle w:val="24"/>
          <w:rFonts w:hint="eastAsia" w:asciiTheme="minorEastAsia" w:hAnsiTheme="minorEastAsia"/>
          <w:color w:val="auto"/>
          <w:lang w:val="zh-CN"/>
        </w:rPr>
        <w:t>供应商需要说明的其他文件。</w:t>
      </w:r>
    </w:p>
    <w:p w14:paraId="17FD06F9">
      <w:pPr>
        <w:widowControl/>
        <w:shd w:val="clear" w:color="auto" w:fill="FFFFFF"/>
        <w:spacing w:line="360" w:lineRule="auto"/>
        <w:ind w:firstLine="469"/>
        <w:jc w:val="left"/>
        <w:outlineLvl w:val="1"/>
        <w:rPr>
          <w:rFonts w:cs="Arial" w:asciiTheme="minorEastAsia" w:hAnsiTheme="minorEastAsia"/>
          <w:color w:val="auto"/>
          <w:kern w:val="0"/>
          <w:sz w:val="28"/>
          <w:szCs w:val="28"/>
        </w:rPr>
      </w:pPr>
    </w:p>
    <w:bookmarkEnd w:id="11"/>
    <w:p w14:paraId="6AEA0672">
      <w:pPr>
        <w:pStyle w:val="19"/>
        <w:widowControl/>
        <w:numPr>
          <w:ilvl w:val="0"/>
          <w:numId w:val="1"/>
        </w:numPr>
        <w:shd w:val="clear" w:color="auto" w:fill="FFFFFF"/>
        <w:spacing w:line="360" w:lineRule="auto"/>
        <w:ind w:firstLineChars="0"/>
        <w:jc w:val="left"/>
        <w:outlineLvl w:val="1"/>
        <w:rPr>
          <w:rFonts w:cs="Arial" w:asciiTheme="minorEastAsia" w:hAnsiTheme="minorEastAsia"/>
          <w:b/>
          <w:color w:val="auto"/>
          <w:kern w:val="0"/>
          <w:sz w:val="32"/>
          <w:szCs w:val="32"/>
        </w:rPr>
      </w:pPr>
      <w:r>
        <w:rPr>
          <w:rFonts w:hint="eastAsia" w:cs="Arial" w:asciiTheme="minorEastAsia" w:hAnsiTheme="minorEastAsia"/>
          <w:b/>
          <w:color w:val="auto"/>
          <w:kern w:val="0"/>
          <w:sz w:val="32"/>
          <w:szCs w:val="32"/>
        </w:rPr>
        <w:t>评标</w:t>
      </w:r>
      <w:r>
        <w:rPr>
          <w:rFonts w:hint="eastAsia" w:cs="宋体" w:asciiTheme="minorEastAsia" w:hAnsiTheme="minorEastAsia"/>
          <w:b/>
          <w:color w:val="auto"/>
          <w:sz w:val="32"/>
          <w:szCs w:val="32"/>
        </w:rPr>
        <w:t>办法（综合评标法）</w:t>
      </w:r>
    </w:p>
    <w:p w14:paraId="37CDA55C">
      <w:pPr>
        <w:pStyle w:val="19"/>
        <w:numPr>
          <w:ilvl w:val="0"/>
          <w:numId w:val="9"/>
        </w:numPr>
        <w:spacing w:line="360" w:lineRule="auto"/>
        <w:ind w:firstLineChars="0"/>
        <w:rPr>
          <w:rFonts w:cs="宋体" w:asciiTheme="minorEastAsia" w:hAnsiTheme="minorEastAsia"/>
          <w:b/>
          <w:bCs/>
          <w:color w:val="auto"/>
          <w:sz w:val="24"/>
        </w:rPr>
      </w:pPr>
      <w:r>
        <w:rPr>
          <w:rFonts w:hint="eastAsia" w:cs="宋体" w:asciiTheme="minorEastAsia" w:hAnsiTheme="minorEastAsia"/>
          <w:b/>
          <w:bCs/>
          <w:color w:val="auto"/>
          <w:sz w:val="24"/>
        </w:rPr>
        <w:t>评标过程</w:t>
      </w:r>
    </w:p>
    <w:p w14:paraId="73DCC6A4">
      <w:pPr>
        <w:spacing w:line="360" w:lineRule="auto"/>
        <w:ind w:firstLine="424" w:firstLineChars="177"/>
        <w:rPr>
          <w:rFonts w:asciiTheme="minorEastAsia" w:hAnsiTheme="minorEastAsia"/>
          <w:color w:val="auto"/>
          <w:sz w:val="24"/>
          <w:szCs w:val="24"/>
        </w:rPr>
      </w:pPr>
      <w:r>
        <w:rPr>
          <w:rFonts w:hint="eastAsia" w:asciiTheme="minorEastAsia" w:hAnsiTheme="minorEastAsia"/>
          <w:color w:val="auto"/>
          <w:sz w:val="24"/>
          <w:szCs w:val="24"/>
        </w:rPr>
        <w:t>由</w:t>
      </w:r>
      <w:r>
        <w:rPr>
          <w:rFonts w:hint="eastAsia" w:asciiTheme="minorEastAsia" w:hAnsiTheme="minorEastAsia"/>
          <w:color w:val="auto"/>
          <w:sz w:val="24"/>
          <w:szCs w:val="24"/>
          <w:lang w:val="en-US" w:eastAsia="zh-CN"/>
        </w:rPr>
        <w:t>评标委员会</w:t>
      </w:r>
      <w:r>
        <w:rPr>
          <w:rFonts w:hint="eastAsia" w:asciiTheme="minorEastAsia" w:hAnsiTheme="minorEastAsia"/>
          <w:color w:val="auto"/>
          <w:sz w:val="24"/>
          <w:szCs w:val="24"/>
        </w:rPr>
        <w:t>对投标人的投标文件按评标标准和程序进行评审；待全部评审工作结束，评标委员会应编制评标报告，评标委员会成员分别签名确认评审结果后，即产生最终的评标结果。</w:t>
      </w:r>
    </w:p>
    <w:p w14:paraId="4A434463">
      <w:pPr>
        <w:pStyle w:val="19"/>
        <w:numPr>
          <w:ilvl w:val="0"/>
          <w:numId w:val="9"/>
        </w:numPr>
        <w:spacing w:line="360" w:lineRule="auto"/>
        <w:ind w:firstLineChars="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评标程序项目</w:t>
      </w:r>
    </w:p>
    <w:p w14:paraId="04E1E61C">
      <w:pPr>
        <w:spacing w:line="360" w:lineRule="auto"/>
        <w:ind w:firstLine="424" w:firstLineChars="17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开标——资格审查——评审三个环节进行。</w:t>
      </w:r>
    </w:p>
    <w:p w14:paraId="626559BC">
      <w:pPr>
        <w:pStyle w:val="19"/>
        <w:numPr>
          <w:ilvl w:val="0"/>
          <w:numId w:val="9"/>
        </w:numPr>
        <w:spacing w:line="360" w:lineRule="auto"/>
        <w:ind w:firstLineChars="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评分内容及标准</w:t>
      </w:r>
    </w:p>
    <w:tbl>
      <w:tblPr>
        <w:tblStyle w:val="11"/>
        <w:tblW w:w="10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798"/>
        <w:gridCol w:w="1906"/>
        <w:gridCol w:w="6087"/>
        <w:gridCol w:w="1354"/>
      </w:tblGrid>
      <w:tr w14:paraId="0A61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12" w:type="dxa"/>
            <w:gridSpan w:val="2"/>
            <w:shd w:val="clear" w:color="auto" w:fill="D8D8D8" w:themeFill="background1" w:themeFillShade="D9"/>
            <w:vAlign w:val="center"/>
          </w:tcPr>
          <w:p w14:paraId="56E7CD15">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条款号</w:t>
            </w:r>
          </w:p>
        </w:tc>
        <w:tc>
          <w:tcPr>
            <w:tcW w:w="1906" w:type="dxa"/>
            <w:shd w:val="clear" w:color="auto" w:fill="D8D8D8" w:themeFill="background1" w:themeFillShade="D9"/>
            <w:vAlign w:val="center"/>
          </w:tcPr>
          <w:p w14:paraId="7FD94F19">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评审因素</w:t>
            </w:r>
          </w:p>
        </w:tc>
        <w:tc>
          <w:tcPr>
            <w:tcW w:w="6087" w:type="dxa"/>
            <w:shd w:val="clear" w:color="auto" w:fill="D8D8D8" w:themeFill="background1" w:themeFillShade="D9"/>
            <w:vAlign w:val="center"/>
          </w:tcPr>
          <w:p w14:paraId="5C0AE6F7">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评审标准</w:t>
            </w:r>
          </w:p>
        </w:tc>
        <w:tc>
          <w:tcPr>
            <w:tcW w:w="1354" w:type="dxa"/>
            <w:shd w:val="clear" w:color="auto" w:fill="D8D8D8" w:themeFill="background1" w:themeFillShade="D9"/>
            <w:vAlign w:val="center"/>
          </w:tcPr>
          <w:p w14:paraId="5A47B7E4">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评审类型</w:t>
            </w:r>
          </w:p>
        </w:tc>
      </w:tr>
      <w:tr w14:paraId="2321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4" w:type="dxa"/>
            <w:vAlign w:val="center"/>
          </w:tcPr>
          <w:p w14:paraId="0B779A5C">
            <w:pPr>
              <w:adjustRightInd w:val="0"/>
              <w:snapToGrid w:val="0"/>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798" w:type="dxa"/>
            <w:vAlign w:val="center"/>
          </w:tcPr>
          <w:p w14:paraId="7EF6E599">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评标</w:t>
            </w:r>
          </w:p>
          <w:p w14:paraId="6636A703">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办法</w:t>
            </w:r>
          </w:p>
        </w:tc>
        <w:tc>
          <w:tcPr>
            <w:tcW w:w="1906" w:type="dxa"/>
            <w:vAlign w:val="center"/>
          </w:tcPr>
          <w:p w14:paraId="16069473">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中标候选人排序方法</w:t>
            </w:r>
          </w:p>
        </w:tc>
        <w:tc>
          <w:tcPr>
            <w:tcW w:w="6087" w:type="dxa"/>
            <w:vAlign w:val="center"/>
          </w:tcPr>
          <w:p w14:paraId="7C11F98A">
            <w:pPr>
              <w:adjustRightInd w:val="0"/>
              <w:snapToGrid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本项目评标办法为综合评分法，评标委员会推荐中标候选人方法按照投标文件满足招标文件全部实质性要求，且按照评审因素的量化指标评审得分最高的投标人为中标候选人。</w:t>
            </w:r>
          </w:p>
        </w:tc>
        <w:tc>
          <w:tcPr>
            <w:tcW w:w="1354" w:type="dxa"/>
            <w:vAlign w:val="center"/>
          </w:tcPr>
          <w:p w14:paraId="0B15A6B0">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w:t>
            </w:r>
          </w:p>
        </w:tc>
      </w:tr>
      <w:tr w14:paraId="04AF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4" w:type="dxa"/>
            <w:vMerge w:val="restart"/>
            <w:vAlign w:val="center"/>
          </w:tcPr>
          <w:p w14:paraId="0F89543B">
            <w:pPr>
              <w:adjustRightInd w:val="0"/>
              <w:snapToGrid w:val="0"/>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2.1</w:t>
            </w:r>
          </w:p>
        </w:tc>
        <w:tc>
          <w:tcPr>
            <w:tcW w:w="798" w:type="dxa"/>
            <w:vMerge w:val="restart"/>
            <w:vAlign w:val="center"/>
          </w:tcPr>
          <w:p w14:paraId="7294BF1C">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符合</w:t>
            </w:r>
          </w:p>
          <w:p w14:paraId="120BF702">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性审</w:t>
            </w:r>
          </w:p>
          <w:p w14:paraId="7A5FC736">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查</w:t>
            </w:r>
          </w:p>
        </w:tc>
        <w:tc>
          <w:tcPr>
            <w:tcW w:w="1906" w:type="dxa"/>
            <w:vAlign w:val="center"/>
          </w:tcPr>
          <w:p w14:paraId="5F0FCB35">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w:t>
            </w:r>
          </w:p>
        </w:tc>
        <w:tc>
          <w:tcPr>
            <w:tcW w:w="6087" w:type="dxa"/>
            <w:vAlign w:val="center"/>
          </w:tcPr>
          <w:p w14:paraId="5BDEB277">
            <w:pPr>
              <w:adjustRightInd w:val="0"/>
              <w:snapToGrid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投标文件（逐页盖章）未按招标文件要求签署、盖章的；</w:t>
            </w:r>
          </w:p>
        </w:tc>
        <w:tc>
          <w:tcPr>
            <w:tcW w:w="1354" w:type="dxa"/>
            <w:vAlign w:val="center"/>
          </w:tcPr>
          <w:p w14:paraId="0234A162">
            <w:pPr>
              <w:spacing w:line="360" w:lineRule="auto"/>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重要指标</w:t>
            </w:r>
          </w:p>
        </w:tc>
      </w:tr>
      <w:tr w14:paraId="3CA9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4" w:type="dxa"/>
            <w:vMerge w:val="continue"/>
            <w:vAlign w:val="center"/>
          </w:tcPr>
          <w:p w14:paraId="186D8B13">
            <w:pPr>
              <w:adjustRightInd w:val="0"/>
              <w:snapToGrid w:val="0"/>
              <w:jc w:val="center"/>
              <w:rPr>
                <w:rFonts w:cs="宋体" w:asciiTheme="minorEastAsia" w:hAnsiTheme="minorEastAsia"/>
                <w:color w:val="000000" w:themeColor="text1"/>
                <w:kern w:val="0"/>
                <w:sz w:val="24"/>
                <w:szCs w:val="24"/>
                <w14:textFill>
                  <w14:solidFill>
                    <w14:schemeClr w14:val="tx1"/>
                  </w14:solidFill>
                </w14:textFill>
              </w:rPr>
            </w:pPr>
          </w:p>
        </w:tc>
        <w:tc>
          <w:tcPr>
            <w:tcW w:w="798" w:type="dxa"/>
            <w:vMerge w:val="continue"/>
            <w:vAlign w:val="center"/>
          </w:tcPr>
          <w:p w14:paraId="49383FD1">
            <w:pPr>
              <w:adjustRightInd w:val="0"/>
              <w:snapToGrid w:val="0"/>
              <w:jc w:val="center"/>
              <w:rPr>
                <w:rFonts w:cs="宋体" w:asciiTheme="minorEastAsia" w:hAnsiTheme="minorEastAsia"/>
                <w:color w:val="000000" w:themeColor="text1"/>
                <w:sz w:val="24"/>
                <w:szCs w:val="24"/>
                <w14:textFill>
                  <w14:solidFill>
                    <w14:schemeClr w14:val="tx1"/>
                  </w14:solidFill>
                </w14:textFill>
              </w:rPr>
            </w:pPr>
          </w:p>
        </w:tc>
        <w:tc>
          <w:tcPr>
            <w:tcW w:w="1906" w:type="dxa"/>
            <w:vAlign w:val="center"/>
          </w:tcPr>
          <w:p w14:paraId="66DC9575">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w:t>
            </w:r>
          </w:p>
        </w:tc>
        <w:tc>
          <w:tcPr>
            <w:tcW w:w="6087" w:type="dxa"/>
            <w:vAlign w:val="center"/>
          </w:tcPr>
          <w:p w14:paraId="4FA7C904">
            <w:pPr>
              <w:adjustRightInd w:val="0"/>
              <w:snapToGrid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投标文件内容真实，未提供虚假证明文件</w:t>
            </w:r>
            <w:r>
              <w:rPr>
                <w:rFonts w:hint="eastAsia" w:cs="宋体" w:asciiTheme="minorEastAsia" w:hAnsiTheme="minorEastAsia"/>
                <w:color w:val="000000" w:themeColor="text1"/>
                <w:sz w:val="24"/>
                <w:szCs w:val="24"/>
                <w:lang w:eastAsia="zh-CN"/>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虚假技术参数的；</w:t>
            </w:r>
          </w:p>
        </w:tc>
        <w:tc>
          <w:tcPr>
            <w:tcW w:w="1354" w:type="dxa"/>
            <w:vAlign w:val="center"/>
          </w:tcPr>
          <w:p w14:paraId="6D48FACB">
            <w:pPr>
              <w:spacing w:line="360" w:lineRule="auto"/>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重要指标</w:t>
            </w:r>
          </w:p>
        </w:tc>
      </w:tr>
      <w:tr w14:paraId="3E3C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4" w:type="dxa"/>
            <w:vMerge w:val="continue"/>
            <w:vAlign w:val="center"/>
          </w:tcPr>
          <w:p w14:paraId="6AA4C627">
            <w:pPr>
              <w:adjustRightInd w:val="0"/>
              <w:snapToGrid w:val="0"/>
              <w:jc w:val="center"/>
              <w:rPr>
                <w:rFonts w:cs="宋体" w:asciiTheme="minorEastAsia" w:hAnsiTheme="minorEastAsia"/>
                <w:color w:val="000000" w:themeColor="text1"/>
                <w:kern w:val="0"/>
                <w:sz w:val="24"/>
                <w:szCs w:val="24"/>
                <w14:textFill>
                  <w14:solidFill>
                    <w14:schemeClr w14:val="tx1"/>
                  </w14:solidFill>
                </w14:textFill>
              </w:rPr>
            </w:pPr>
          </w:p>
        </w:tc>
        <w:tc>
          <w:tcPr>
            <w:tcW w:w="798" w:type="dxa"/>
            <w:vMerge w:val="continue"/>
            <w:vAlign w:val="center"/>
          </w:tcPr>
          <w:p w14:paraId="10CC2DF3">
            <w:pPr>
              <w:adjustRightInd w:val="0"/>
              <w:snapToGrid w:val="0"/>
              <w:jc w:val="center"/>
              <w:rPr>
                <w:rFonts w:cs="宋体" w:asciiTheme="minorEastAsia" w:hAnsiTheme="minorEastAsia"/>
                <w:color w:val="000000" w:themeColor="text1"/>
                <w:sz w:val="24"/>
                <w:szCs w:val="24"/>
                <w14:textFill>
                  <w14:solidFill>
                    <w14:schemeClr w14:val="tx1"/>
                  </w14:solidFill>
                </w14:textFill>
              </w:rPr>
            </w:pPr>
          </w:p>
        </w:tc>
        <w:tc>
          <w:tcPr>
            <w:tcW w:w="1906" w:type="dxa"/>
            <w:vAlign w:val="center"/>
          </w:tcPr>
          <w:p w14:paraId="23D6DA9E">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w:t>
            </w:r>
          </w:p>
        </w:tc>
        <w:tc>
          <w:tcPr>
            <w:tcW w:w="6087" w:type="dxa"/>
            <w:vAlign w:val="center"/>
          </w:tcPr>
          <w:p w14:paraId="582B000E">
            <w:pPr>
              <w:adjustRightInd w:val="0"/>
              <w:snapToGrid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报价超过招标文件中规定的预算金额或最高限价的；</w:t>
            </w:r>
          </w:p>
        </w:tc>
        <w:tc>
          <w:tcPr>
            <w:tcW w:w="1354" w:type="dxa"/>
            <w:vAlign w:val="center"/>
          </w:tcPr>
          <w:p w14:paraId="7B4FDB05">
            <w:pPr>
              <w:spacing w:line="360" w:lineRule="auto"/>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重要指标</w:t>
            </w:r>
          </w:p>
        </w:tc>
      </w:tr>
      <w:tr w14:paraId="2A8D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4" w:type="dxa"/>
            <w:vMerge w:val="continue"/>
            <w:vAlign w:val="center"/>
          </w:tcPr>
          <w:p w14:paraId="56CF8E7A">
            <w:pPr>
              <w:adjustRightInd w:val="0"/>
              <w:snapToGrid w:val="0"/>
              <w:jc w:val="center"/>
              <w:rPr>
                <w:rFonts w:cs="宋体" w:asciiTheme="minorEastAsia" w:hAnsiTheme="minorEastAsia"/>
                <w:color w:val="000000" w:themeColor="text1"/>
                <w:kern w:val="0"/>
                <w:sz w:val="24"/>
                <w:szCs w:val="24"/>
                <w14:textFill>
                  <w14:solidFill>
                    <w14:schemeClr w14:val="tx1"/>
                  </w14:solidFill>
                </w14:textFill>
              </w:rPr>
            </w:pPr>
          </w:p>
        </w:tc>
        <w:tc>
          <w:tcPr>
            <w:tcW w:w="798" w:type="dxa"/>
            <w:vMerge w:val="continue"/>
            <w:vAlign w:val="center"/>
          </w:tcPr>
          <w:p w14:paraId="76BBC683">
            <w:pPr>
              <w:adjustRightInd w:val="0"/>
              <w:snapToGrid w:val="0"/>
              <w:jc w:val="center"/>
              <w:rPr>
                <w:rFonts w:cs="宋体" w:asciiTheme="minorEastAsia" w:hAnsiTheme="minorEastAsia"/>
                <w:color w:val="000000" w:themeColor="text1"/>
                <w:sz w:val="24"/>
                <w:szCs w:val="24"/>
                <w14:textFill>
                  <w14:solidFill>
                    <w14:schemeClr w14:val="tx1"/>
                  </w14:solidFill>
                </w14:textFill>
              </w:rPr>
            </w:pPr>
          </w:p>
        </w:tc>
        <w:tc>
          <w:tcPr>
            <w:tcW w:w="1906" w:type="dxa"/>
            <w:vAlign w:val="center"/>
          </w:tcPr>
          <w:p w14:paraId="5E7EA169">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w:t>
            </w:r>
          </w:p>
        </w:tc>
        <w:tc>
          <w:tcPr>
            <w:tcW w:w="6087" w:type="dxa"/>
            <w:vAlign w:val="center"/>
          </w:tcPr>
          <w:p w14:paraId="0D17329C">
            <w:pPr>
              <w:adjustRightInd w:val="0"/>
              <w:snapToGrid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投标文件含有采购人不能接受的附加条件的；</w:t>
            </w:r>
          </w:p>
        </w:tc>
        <w:tc>
          <w:tcPr>
            <w:tcW w:w="1354" w:type="dxa"/>
            <w:vAlign w:val="center"/>
          </w:tcPr>
          <w:p w14:paraId="162F9B83">
            <w:pPr>
              <w:spacing w:line="360" w:lineRule="auto"/>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重要指标</w:t>
            </w:r>
          </w:p>
        </w:tc>
      </w:tr>
      <w:tr w14:paraId="7790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4" w:type="dxa"/>
            <w:vMerge w:val="continue"/>
            <w:vAlign w:val="center"/>
          </w:tcPr>
          <w:p w14:paraId="2684B5E1">
            <w:pPr>
              <w:adjustRightInd w:val="0"/>
              <w:snapToGrid w:val="0"/>
              <w:jc w:val="center"/>
              <w:rPr>
                <w:rFonts w:cs="宋体" w:asciiTheme="minorEastAsia" w:hAnsiTheme="minorEastAsia"/>
                <w:color w:val="000000" w:themeColor="text1"/>
                <w:kern w:val="0"/>
                <w:sz w:val="24"/>
                <w:szCs w:val="24"/>
                <w14:textFill>
                  <w14:solidFill>
                    <w14:schemeClr w14:val="tx1"/>
                  </w14:solidFill>
                </w14:textFill>
              </w:rPr>
            </w:pPr>
          </w:p>
        </w:tc>
        <w:tc>
          <w:tcPr>
            <w:tcW w:w="798" w:type="dxa"/>
            <w:vMerge w:val="continue"/>
            <w:vAlign w:val="center"/>
          </w:tcPr>
          <w:p w14:paraId="7793F43D">
            <w:pPr>
              <w:adjustRightInd w:val="0"/>
              <w:snapToGrid w:val="0"/>
              <w:jc w:val="center"/>
              <w:rPr>
                <w:rFonts w:cs="宋体" w:asciiTheme="minorEastAsia" w:hAnsiTheme="minorEastAsia"/>
                <w:color w:val="000000" w:themeColor="text1"/>
                <w:sz w:val="24"/>
                <w:szCs w:val="24"/>
                <w14:textFill>
                  <w14:solidFill>
                    <w14:schemeClr w14:val="tx1"/>
                  </w14:solidFill>
                </w14:textFill>
              </w:rPr>
            </w:pPr>
          </w:p>
        </w:tc>
        <w:tc>
          <w:tcPr>
            <w:tcW w:w="1906" w:type="dxa"/>
            <w:vAlign w:val="center"/>
          </w:tcPr>
          <w:p w14:paraId="7634F061">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w:t>
            </w:r>
          </w:p>
        </w:tc>
        <w:tc>
          <w:tcPr>
            <w:tcW w:w="6087" w:type="dxa"/>
            <w:vAlign w:val="center"/>
          </w:tcPr>
          <w:p w14:paraId="6B0B8D80">
            <w:pPr>
              <w:adjustRightInd w:val="0"/>
              <w:snapToGrid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法律、法规和招标文件规定的其他无效情形；</w:t>
            </w:r>
          </w:p>
        </w:tc>
        <w:tc>
          <w:tcPr>
            <w:tcW w:w="1354" w:type="dxa"/>
            <w:vAlign w:val="center"/>
          </w:tcPr>
          <w:p w14:paraId="2EB6D8D1">
            <w:pPr>
              <w:spacing w:line="360" w:lineRule="auto"/>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重要指标</w:t>
            </w:r>
          </w:p>
        </w:tc>
      </w:tr>
      <w:tr w14:paraId="5EA8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412" w:type="dxa"/>
            <w:gridSpan w:val="2"/>
            <w:vAlign w:val="center"/>
          </w:tcPr>
          <w:p w14:paraId="182C6128">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2.2.1</w:t>
            </w:r>
          </w:p>
        </w:tc>
        <w:tc>
          <w:tcPr>
            <w:tcW w:w="1906" w:type="dxa"/>
            <w:vAlign w:val="center"/>
          </w:tcPr>
          <w:p w14:paraId="6EF7402B">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分值构成</w:t>
            </w:r>
          </w:p>
        </w:tc>
        <w:tc>
          <w:tcPr>
            <w:tcW w:w="6087" w:type="dxa"/>
            <w:vAlign w:val="center"/>
          </w:tcPr>
          <w:p w14:paraId="6FAB0F7F">
            <w:pPr>
              <w:adjustRightInd w:val="0"/>
              <w:snapToGrid w:val="0"/>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商务部分：</w:t>
            </w:r>
            <w:r>
              <w:rPr>
                <w:rFonts w:hint="eastAsia" w:cs="宋体" w:asciiTheme="minorEastAsia" w:hAnsiTheme="minorEastAsia"/>
                <w:b/>
                <w:bCs/>
                <w:color w:val="000000" w:themeColor="text1"/>
                <w:sz w:val="24"/>
                <w:szCs w:val="24"/>
                <w:lang w:val="en-US" w:eastAsia="zh-CN"/>
                <w14:textFill>
                  <w14:solidFill>
                    <w14:schemeClr w14:val="tx1"/>
                  </w14:solidFill>
                </w14:textFill>
              </w:rPr>
              <w:t>15</w:t>
            </w:r>
            <w:r>
              <w:rPr>
                <w:rFonts w:hint="eastAsia" w:cs="宋体" w:asciiTheme="minorEastAsia" w:hAnsiTheme="minorEastAsia"/>
                <w:b/>
                <w:bCs/>
                <w:color w:val="000000" w:themeColor="text1"/>
                <w:sz w:val="24"/>
                <w:szCs w:val="24"/>
                <w14:textFill>
                  <w14:solidFill>
                    <w14:schemeClr w14:val="tx1"/>
                  </w14:solidFill>
                </w14:textFill>
              </w:rPr>
              <w:t>分</w:t>
            </w:r>
          </w:p>
          <w:p w14:paraId="600DE7F2">
            <w:pPr>
              <w:adjustRightInd w:val="0"/>
              <w:snapToGrid w:val="0"/>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技术部分：</w:t>
            </w:r>
            <w:r>
              <w:rPr>
                <w:rFonts w:hint="eastAsia" w:cs="宋体" w:asciiTheme="minorEastAsia" w:hAnsiTheme="minorEastAsia"/>
                <w:b/>
                <w:bCs/>
                <w:color w:val="000000" w:themeColor="text1"/>
                <w:sz w:val="24"/>
                <w:szCs w:val="24"/>
                <w:lang w:val="en-US" w:eastAsia="zh-CN"/>
                <w14:textFill>
                  <w14:solidFill>
                    <w14:schemeClr w14:val="tx1"/>
                  </w14:solidFill>
                </w14:textFill>
              </w:rPr>
              <w:t>70</w:t>
            </w:r>
            <w:r>
              <w:rPr>
                <w:rFonts w:hint="eastAsia" w:cs="宋体" w:asciiTheme="minorEastAsia" w:hAnsiTheme="minorEastAsia"/>
                <w:b/>
                <w:bCs/>
                <w:color w:val="000000" w:themeColor="text1"/>
                <w:sz w:val="24"/>
                <w:szCs w:val="24"/>
                <w14:textFill>
                  <w14:solidFill>
                    <w14:schemeClr w14:val="tx1"/>
                  </w14:solidFill>
                </w14:textFill>
              </w:rPr>
              <w:t>分</w:t>
            </w:r>
          </w:p>
          <w:p w14:paraId="0A64C5FC">
            <w:pPr>
              <w:adjustRightInd w:val="0"/>
              <w:snapToGrid w:val="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投标报价：</w:t>
            </w:r>
            <w:r>
              <w:rPr>
                <w:rFonts w:hint="eastAsia" w:cs="宋体" w:asciiTheme="minorEastAsia" w:hAnsiTheme="minorEastAsia"/>
                <w:b/>
                <w:bCs/>
                <w:color w:val="000000" w:themeColor="text1"/>
                <w:sz w:val="24"/>
                <w:szCs w:val="24"/>
                <w:lang w:val="en-US" w:eastAsia="zh-CN"/>
                <w14:textFill>
                  <w14:solidFill>
                    <w14:schemeClr w14:val="tx1"/>
                  </w14:solidFill>
                </w14:textFill>
              </w:rPr>
              <w:t>15</w:t>
            </w:r>
            <w:r>
              <w:rPr>
                <w:rFonts w:hint="eastAsia" w:cs="宋体" w:asciiTheme="minorEastAsia" w:hAnsiTheme="minorEastAsia"/>
                <w:b/>
                <w:bCs/>
                <w:color w:val="000000" w:themeColor="text1"/>
                <w:sz w:val="24"/>
                <w:szCs w:val="24"/>
                <w14:textFill>
                  <w14:solidFill>
                    <w14:schemeClr w14:val="tx1"/>
                  </w14:solidFill>
                </w14:textFill>
              </w:rPr>
              <w:t>分</w:t>
            </w:r>
          </w:p>
        </w:tc>
        <w:tc>
          <w:tcPr>
            <w:tcW w:w="1354" w:type="dxa"/>
            <w:vAlign w:val="center"/>
          </w:tcPr>
          <w:p w14:paraId="65400C0B">
            <w:pPr>
              <w:spacing w:line="360" w:lineRule="auto"/>
              <w:ind w:left="600" w:hanging="600" w:hangingChars="250"/>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总分：</w:t>
            </w:r>
          </w:p>
          <w:p w14:paraId="09BCED11">
            <w:pPr>
              <w:spacing w:line="360" w:lineRule="auto"/>
              <w:ind w:left="600" w:hanging="600" w:hangingChars="250"/>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100分</w:t>
            </w:r>
          </w:p>
        </w:tc>
      </w:tr>
    </w:tbl>
    <w:p w14:paraId="2F008E66">
      <w:pPr>
        <w:spacing w:line="360" w:lineRule="auto"/>
        <w:ind w:firstLine="424" w:firstLineChars="177"/>
        <w:jc w:val="left"/>
        <w:rPr>
          <w:rFonts w:asciiTheme="minorEastAsia" w:hAnsiTheme="minorEastAsia"/>
          <w:color w:val="000000" w:themeColor="text1"/>
          <w:sz w:val="24"/>
          <w:szCs w:val="24"/>
          <w14:textFill>
            <w14:solidFill>
              <w14:schemeClr w14:val="tx1"/>
            </w14:solidFill>
          </w14:textFill>
        </w:rPr>
      </w:pPr>
    </w:p>
    <w:tbl>
      <w:tblPr>
        <w:tblStyle w:val="11"/>
        <w:tblW w:w="10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907"/>
        <w:gridCol w:w="6086"/>
        <w:gridCol w:w="1354"/>
      </w:tblGrid>
      <w:tr w14:paraId="19AC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2" w:type="dxa"/>
            <w:shd w:val="clear" w:color="auto" w:fill="D8D8D8" w:themeFill="background1" w:themeFillShade="D9"/>
            <w:vAlign w:val="center"/>
          </w:tcPr>
          <w:p w14:paraId="2C28E9B4">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条款号</w:t>
            </w:r>
          </w:p>
        </w:tc>
        <w:tc>
          <w:tcPr>
            <w:tcW w:w="1907" w:type="dxa"/>
            <w:shd w:val="clear" w:color="auto" w:fill="D8D8D8" w:themeFill="background1" w:themeFillShade="D9"/>
            <w:vAlign w:val="center"/>
          </w:tcPr>
          <w:p w14:paraId="15AB55E2">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类别</w:t>
            </w:r>
          </w:p>
        </w:tc>
        <w:tc>
          <w:tcPr>
            <w:tcW w:w="6086" w:type="dxa"/>
            <w:shd w:val="clear" w:color="auto" w:fill="D8D8D8" w:themeFill="background1" w:themeFillShade="D9"/>
            <w:vAlign w:val="center"/>
          </w:tcPr>
          <w:p w14:paraId="6F769E67">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评分标准</w:t>
            </w:r>
          </w:p>
        </w:tc>
        <w:tc>
          <w:tcPr>
            <w:tcW w:w="1354" w:type="dxa"/>
            <w:shd w:val="clear" w:color="auto" w:fill="D8D8D8" w:themeFill="background1" w:themeFillShade="D9"/>
            <w:vAlign w:val="center"/>
          </w:tcPr>
          <w:p w14:paraId="4F8590AE">
            <w:pPr>
              <w:spacing w:line="360" w:lineRule="auto"/>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分值</w:t>
            </w:r>
          </w:p>
        </w:tc>
      </w:tr>
      <w:tr w14:paraId="429A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412" w:type="dxa"/>
            <w:vMerge w:val="restart"/>
            <w:vAlign w:val="center"/>
          </w:tcPr>
          <w:p w14:paraId="4CC3CCFD">
            <w:pPr>
              <w:adjustRightInd w:val="0"/>
              <w:snapToGrid w:val="0"/>
              <w:jc w:val="center"/>
              <w:rPr>
                <w:rFonts w:cs="宋体" w:asciiTheme="minorEastAsia" w:hAnsiTheme="minorEastAsia"/>
                <w:color w:val="000000" w:themeColor="text1"/>
                <w:sz w:val="24"/>
                <w:szCs w:val="24"/>
                <w14:textFill>
                  <w14:solidFill>
                    <w14:schemeClr w14:val="tx1"/>
                  </w14:solidFill>
                </w14:textFill>
              </w:rPr>
            </w:pPr>
          </w:p>
        </w:tc>
        <w:tc>
          <w:tcPr>
            <w:tcW w:w="1907" w:type="dxa"/>
            <w:vMerge w:val="restart"/>
            <w:vAlign w:val="center"/>
          </w:tcPr>
          <w:p w14:paraId="6DCDCA5B">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商务评分标准</w:t>
            </w:r>
          </w:p>
        </w:tc>
        <w:tc>
          <w:tcPr>
            <w:tcW w:w="6086" w:type="dxa"/>
            <w:vAlign w:val="center"/>
          </w:tcPr>
          <w:p w14:paraId="2CE7A46F">
            <w:pPr>
              <w:numPr>
                <w:ilvl w:val="0"/>
                <w:numId w:val="0"/>
              </w:numPr>
              <w:adjustRightInd w:val="0"/>
              <w:snapToGrid w:val="0"/>
              <w:ind w:leftChars="0"/>
              <w:rPr>
                <w:rFonts w:hint="eastAsia"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拟投入本项目团队的整体能力及人员配置</w:t>
            </w:r>
            <w:r>
              <w:rPr>
                <w:rFonts w:hint="eastAsia" w:cs="宋体" w:asciiTheme="minorEastAsia" w:hAnsiTheme="minorEastAsia"/>
                <w:color w:val="000000" w:themeColor="text1"/>
                <w:sz w:val="24"/>
                <w:szCs w:val="24"/>
                <w:lang w:eastAsia="zh-CN"/>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注： 须提供人员名单，并附学历、职称、近半年社保证明及个人类似项目业绩证明。未提供不得分。</w:t>
            </w:r>
          </w:p>
          <w:p w14:paraId="2208B04A">
            <w:pPr>
              <w:numPr>
                <w:ilvl w:val="0"/>
                <w:numId w:val="10"/>
              </w:numPr>
              <w:adjustRightInd w:val="0"/>
              <w:snapToGrid w:val="0"/>
              <w:ind w:left="0" w:leftChars="0" w:firstLine="0" w:firstLineChars="0"/>
              <w:rPr>
                <w:rFonts w:hint="eastAsia"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团队核心成员（导演、摄像、后期等）专业背景强、配置齐全，均提供充足同类项目成功经验证明</w:t>
            </w:r>
            <w:r>
              <w:rPr>
                <w:rFonts w:hint="eastAsia" w:cs="宋体" w:asciiTheme="minorEastAsia" w:hAnsiTheme="minorEastAsia"/>
                <w:color w:val="000000" w:themeColor="text1"/>
                <w:sz w:val="24"/>
                <w:szCs w:val="24"/>
                <w:lang w:eastAsia="zh-CN"/>
                <w14:textFill>
                  <w14:solidFill>
                    <w14:schemeClr w14:val="tx1"/>
                  </w14:solidFill>
                </w14:textFill>
              </w:rPr>
              <w:t>（</w:t>
            </w:r>
            <w:r>
              <w:rPr>
                <w:rFonts w:hint="eastAsia" w:cs="宋体" w:asciiTheme="minorEastAsia" w:hAnsiTheme="minorEastAsia"/>
                <w:color w:val="000000" w:themeColor="text1"/>
                <w:sz w:val="24"/>
                <w:szCs w:val="24"/>
                <w:lang w:val="en-US" w:eastAsia="zh-CN"/>
                <w14:textFill>
                  <w14:solidFill>
                    <w14:schemeClr w14:val="tx1"/>
                  </w14:solidFill>
                </w14:textFill>
              </w:rPr>
              <w:t>8</w:t>
            </w:r>
            <w:r>
              <w:rPr>
                <w:rFonts w:hint="eastAsia"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lang w:val="en-US" w:eastAsia="zh-CN"/>
                <w14:textFill>
                  <w14:solidFill>
                    <w14:schemeClr w14:val="tx1"/>
                  </w14:solidFill>
                </w14:textFill>
              </w:rPr>
              <w:t>10</w:t>
            </w:r>
            <w:r>
              <w:rPr>
                <w:rFonts w:hint="eastAsia" w:cs="宋体" w:asciiTheme="minorEastAsia" w:hAnsiTheme="minorEastAsia"/>
                <w:color w:val="000000" w:themeColor="text1"/>
                <w:sz w:val="24"/>
                <w:szCs w:val="24"/>
                <w14:textFill>
                  <w14:solidFill>
                    <w14:schemeClr w14:val="tx1"/>
                  </w14:solidFill>
                </w14:textFill>
              </w:rPr>
              <w:t>分</w:t>
            </w:r>
            <w:r>
              <w:rPr>
                <w:rFonts w:hint="eastAsia" w:cs="宋体" w:asciiTheme="minorEastAsia" w:hAnsiTheme="minorEastAsia"/>
                <w:color w:val="000000" w:themeColor="text1"/>
                <w:sz w:val="24"/>
                <w:szCs w:val="24"/>
                <w:lang w:eastAsia="zh-CN"/>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w:t>
            </w:r>
          </w:p>
          <w:p w14:paraId="0DA90E36">
            <w:pPr>
              <w:numPr>
                <w:ilvl w:val="0"/>
                <w:numId w:val="0"/>
              </w:numPr>
              <w:adjustRightInd w:val="0"/>
              <w:snapToGrid w:val="0"/>
              <w:ind w:leftChars="0"/>
              <w:rPr>
                <w:rFonts w:hint="eastAsia" w:cs="宋体" w:asciiTheme="minorEastAsia" w:hAnsiTheme="minorEastAsia"/>
                <w:color w:val="000000" w:themeColor="text1"/>
                <w:sz w:val="24"/>
                <w:szCs w:val="24"/>
                <w14:textFill>
                  <w14:solidFill>
                    <w14:schemeClr w14:val="tx1"/>
                  </w14:solidFill>
                </w14:textFill>
              </w:rPr>
            </w:pPr>
          </w:p>
          <w:p w14:paraId="6F5E6C47">
            <w:pPr>
              <w:numPr>
                <w:ilvl w:val="0"/>
                <w:numId w:val="10"/>
              </w:numPr>
              <w:adjustRightInd w:val="0"/>
              <w:snapToGrid w:val="0"/>
              <w:ind w:left="0" w:leftChars="0" w:firstLine="0" w:firstLineChars="0"/>
              <w:rPr>
                <w:rFonts w:hint="eastAsia"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团队主要成员具备相关经验，但部分岗位资历或业绩证明一般（</w:t>
            </w:r>
            <w:r>
              <w:rPr>
                <w:rFonts w:hint="eastAsia" w:cs="宋体" w:asciiTheme="minorEastAsia" w:hAnsiTheme="minorEastAsia"/>
                <w:color w:val="000000" w:themeColor="text1"/>
                <w:sz w:val="24"/>
                <w:szCs w:val="24"/>
                <w:lang w:val="en-US" w:eastAsia="zh-CN"/>
                <w14:textFill>
                  <w14:solidFill>
                    <w14:schemeClr w14:val="tx1"/>
                  </w14:solidFill>
                </w14:textFill>
              </w:rPr>
              <w:t>3</w:t>
            </w:r>
            <w:r>
              <w:rPr>
                <w:rFonts w:hint="eastAsia"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lang w:val="en-US" w:eastAsia="zh-CN"/>
                <w14:textFill>
                  <w14:solidFill>
                    <w14:schemeClr w14:val="tx1"/>
                  </w14:solidFill>
                </w14:textFill>
              </w:rPr>
              <w:t>7</w:t>
            </w:r>
            <w:r>
              <w:rPr>
                <w:rFonts w:hint="eastAsia" w:cs="宋体" w:asciiTheme="minorEastAsia" w:hAnsiTheme="minorEastAsia"/>
                <w:color w:val="000000" w:themeColor="text1"/>
                <w:sz w:val="24"/>
                <w:szCs w:val="24"/>
                <w14:textFill>
                  <w14:solidFill>
                    <w14:schemeClr w14:val="tx1"/>
                  </w14:solidFill>
                </w14:textFill>
              </w:rPr>
              <w:t>分</w:t>
            </w:r>
            <w:r>
              <w:rPr>
                <w:rFonts w:hint="eastAsia" w:cs="宋体" w:asciiTheme="minorEastAsia" w:hAnsiTheme="minorEastAsia"/>
                <w:color w:val="000000" w:themeColor="text1"/>
                <w:sz w:val="24"/>
                <w:szCs w:val="24"/>
                <w:lang w:eastAsia="zh-CN"/>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w:t>
            </w:r>
          </w:p>
          <w:p w14:paraId="2A15AF5C">
            <w:pPr>
              <w:numPr>
                <w:ilvl w:val="0"/>
                <w:numId w:val="0"/>
              </w:numPr>
              <w:adjustRightInd w:val="0"/>
              <w:snapToGrid w:val="0"/>
              <w:ind w:leftChars="0"/>
              <w:rPr>
                <w:rFonts w:hint="eastAsia" w:cs="宋体" w:asciiTheme="minorEastAsia" w:hAnsiTheme="minorEastAsia"/>
                <w:color w:val="000000" w:themeColor="text1"/>
                <w:sz w:val="24"/>
                <w:szCs w:val="24"/>
                <w14:textFill>
                  <w14:solidFill>
                    <w14:schemeClr w14:val="tx1"/>
                  </w14:solidFill>
                </w14:textFill>
              </w:rPr>
            </w:pPr>
          </w:p>
          <w:p w14:paraId="076C1ADE">
            <w:pPr>
              <w:numPr>
                <w:ilvl w:val="0"/>
                <w:numId w:val="10"/>
              </w:numPr>
              <w:adjustRightInd w:val="0"/>
              <w:snapToGrid w:val="0"/>
              <w:ind w:left="0" w:leftChars="0" w:firstLine="0" w:firstLineChars="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团队人员相关经验不足或专业匹配度低，配置有短板（</w:t>
            </w:r>
            <w:r>
              <w:rPr>
                <w:rFonts w:hint="eastAsia" w:cs="宋体" w:asciiTheme="minorEastAsia" w:hAnsiTheme="minorEastAsia"/>
                <w:color w:val="000000" w:themeColor="text1"/>
                <w:sz w:val="24"/>
                <w:szCs w:val="24"/>
                <w:lang w:val="en-US" w:eastAsia="zh-CN"/>
                <w14:textFill>
                  <w14:solidFill>
                    <w14:schemeClr w14:val="tx1"/>
                  </w14:solidFill>
                </w14:textFill>
              </w:rPr>
              <w:t>0</w:t>
            </w:r>
            <w:r>
              <w:rPr>
                <w:rFonts w:hint="eastAsia"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lang w:val="en-US" w:eastAsia="zh-CN"/>
                <w14:textFill>
                  <w14:solidFill>
                    <w14:schemeClr w14:val="tx1"/>
                  </w14:solidFill>
                </w14:textFill>
              </w:rPr>
              <w:t>3</w:t>
            </w:r>
            <w:r>
              <w:rPr>
                <w:rFonts w:hint="eastAsia" w:cs="宋体" w:asciiTheme="minorEastAsia" w:hAnsiTheme="minorEastAsia"/>
                <w:color w:val="000000" w:themeColor="text1"/>
                <w:sz w:val="24"/>
                <w:szCs w:val="24"/>
                <w14:textFill>
                  <w14:solidFill>
                    <w14:schemeClr w14:val="tx1"/>
                  </w14:solidFill>
                </w14:textFill>
              </w:rPr>
              <w:t>分</w:t>
            </w:r>
            <w:r>
              <w:rPr>
                <w:rFonts w:hint="eastAsia" w:cs="宋体" w:asciiTheme="minorEastAsia" w:hAnsiTheme="minorEastAsia"/>
                <w:color w:val="000000" w:themeColor="text1"/>
                <w:sz w:val="24"/>
                <w:szCs w:val="24"/>
                <w:lang w:eastAsia="zh-CN"/>
                <w14:textFill>
                  <w14:solidFill>
                    <w14:schemeClr w14:val="tx1"/>
                  </w14:solidFill>
                </w14:textFill>
              </w:rPr>
              <w:t>）。</w:t>
            </w:r>
          </w:p>
          <w:p w14:paraId="70BBB76A">
            <w:pPr>
              <w:numPr>
                <w:ilvl w:val="0"/>
                <w:numId w:val="0"/>
              </w:numPr>
              <w:adjustRightInd w:val="0"/>
              <w:snapToGrid w:val="0"/>
              <w:ind w:leftChars="0"/>
              <w:rPr>
                <w:rFonts w:cs="宋体" w:asciiTheme="minorEastAsia" w:hAnsiTheme="minorEastAsia"/>
                <w:color w:val="000000" w:themeColor="text1"/>
                <w:sz w:val="24"/>
                <w:szCs w:val="24"/>
                <w14:textFill>
                  <w14:solidFill>
                    <w14:schemeClr w14:val="tx1"/>
                  </w14:solidFill>
                </w14:textFill>
              </w:rPr>
            </w:pPr>
          </w:p>
        </w:tc>
        <w:tc>
          <w:tcPr>
            <w:tcW w:w="1354" w:type="dxa"/>
            <w:vAlign w:val="center"/>
          </w:tcPr>
          <w:p w14:paraId="701BBB52">
            <w:pPr>
              <w:spacing w:line="360" w:lineRule="auto"/>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10</w:t>
            </w:r>
          </w:p>
        </w:tc>
      </w:tr>
      <w:tr w14:paraId="4BAB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412" w:type="dxa"/>
            <w:vMerge w:val="continue"/>
            <w:vAlign w:val="center"/>
          </w:tcPr>
          <w:p w14:paraId="41E4A747">
            <w:pPr>
              <w:adjustRightInd w:val="0"/>
              <w:snapToGrid w:val="0"/>
              <w:jc w:val="center"/>
              <w:rPr>
                <w:rFonts w:cs="宋体" w:asciiTheme="minorEastAsia" w:hAnsiTheme="minorEastAsia"/>
                <w:color w:val="000000" w:themeColor="text1"/>
                <w:sz w:val="24"/>
                <w:szCs w:val="24"/>
                <w14:textFill>
                  <w14:solidFill>
                    <w14:schemeClr w14:val="tx1"/>
                  </w14:solidFill>
                </w14:textFill>
              </w:rPr>
            </w:pPr>
          </w:p>
        </w:tc>
        <w:tc>
          <w:tcPr>
            <w:tcW w:w="1907" w:type="dxa"/>
            <w:vMerge w:val="continue"/>
            <w:vAlign w:val="center"/>
          </w:tcPr>
          <w:p w14:paraId="5107BAC4">
            <w:pPr>
              <w:adjustRightInd w:val="0"/>
              <w:snapToGrid w:val="0"/>
              <w:jc w:val="center"/>
              <w:rPr>
                <w:rFonts w:cs="宋体" w:asciiTheme="minorEastAsia" w:hAnsiTheme="minorEastAsia"/>
                <w:color w:val="000000" w:themeColor="text1"/>
                <w:sz w:val="24"/>
                <w:szCs w:val="24"/>
                <w14:textFill>
                  <w14:solidFill>
                    <w14:schemeClr w14:val="tx1"/>
                  </w14:solidFill>
                </w14:textFill>
              </w:rPr>
            </w:pPr>
          </w:p>
        </w:tc>
        <w:tc>
          <w:tcPr>
            <w:tcW w:w="6086" w:type="dxa"/>
            <w:vAlign w:val="center"/>
          </w:tcPr>
          <w:p w14:paraId="406D1354">
            <w:pPr>
              <w:numPr>
                <w:ilvl w:val="0"/>
                <w:numId w:val="11"/>
              </w:numPr>
              <w:adjustRightInd w:val="0"/>
              <w:snapToGrid w:val="0"/>
              <w:rPr>
                <w:rFonts w:hint="eastAsia"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企业注册资本与团队规模（1分）：注册资本雄厚，公司专职影视团队规模大、结构合理，得1分；情况一般，得0.5分。</w:t>
            </w:r>
          </w:p>
          <w:p w14:paraId="1FA39719">
            <w:pPr>
              <w:numPr>
                <w:ilvl w:val="0"/>
                <w:numId w:val="0"/>
              </w:numPr>
              <w:adjustRightInd w:val="0"/>
              <w:snapToGrid w:val="0"/>
              <w:rPr>
                <w:rFonts w:hint="eastAsia" w:cs="宋体" w:asciiTheme="minorEastAsia" w:hAnsiTheme="minorEastAsia"/>
                <w:color w:val="000000" w:themeColor="text1"/>
                <w:sz w:val="24"/>
                <w:szCs w:val="24"/>
                <w14:textFill>
                  <w14:solidFill>
                    <w14:schemeClr w14:val="tx1"/>
                  </w14:solidFill>
                </w14:textFill>
              </w:rPr>
            </w:pPr>
          </w:p>
          <w:p w14:paraId="6E7174D4">
            <w:pPr>
              <w:numPr>
                <w:ilvl w:val="0"/>
                <w:numId w:val="11"/>
              </w:numPr>
              <w:adjustRightInd w:val="0"/>
              <w:snapToGrid w:val="0"/>
              <w:ind w:left="0" w:leftChars="0" w:firstLine="0" w:firstLineChars="0"/>
              <w:rPr>
                <w:rFonts w:hint="eastAsia"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企业信誉与风险状况（2分）：信誉良好，无不良行政处罚、司法失信或重大投诉记录，得2分；存在个别一般性记录，得0-1分。</w:t>
            </w:r>
          </w:p>
          <w:p w14:paraId="7253046F">
            <w:pPr>
              <w:numPr>
                <w:ilvl w:val="0"/>
                <w:numId w:val="0"/>
              </w:numPr>
              <w:adjustRightInd w:val="0"/>
              <w:snapToGrid w:val="0"/>
              <w:ind w:leftChars="0"/>
              <w:rPr>
                <w:rFonts w:hint="eastAsia" w:cs="宋体" w:asciiTheme="minorEastAsia" w:hAnsiTheme="minorEastAsia"/>
                <w:color w:val="000000" w:themeColor="text1"/>
                <w:sz w:val="24"/>
                <w:szCs w:val="24"/>
                <w14:textFill>
                  <w14:solidFill>
                    <w14:schemeClr w14:val="tx1"/>
                  </w14:solidFill>
                </w14:textFill>
              </w:rPr>
            </w:pPr>
          </w:p>
          <w:p w14:paraId="13DD7E64">
            <w:pPr>
              <w:numPr>
                <w:ilvl w:val="0"/>
                <w:numId w:val="11"/>
              </w:numPr>
              <w:adjustRightInd w:val="0"/>
              <w:snapToGrid w:val="0"/>
              <w:ind w:left="0" w:leftChars="0" w:firstLine="0" w:firstLineChars="0"/>
              <w:rPr>
                <w:rFonts w:hint="eastAsia"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企业同类项目合作案例（3分）： 提供近三年内完成的3个及以上同类项目成功案例，案例质量高、关联性强，得3分；提供2个案例，情况良好，得2分；提供1个案例，得1分；未提供或案例不相关，得0分。</w:t>
            </w:r>
          </w:p>
          <w:p w14:paraId="5A8AC279">
            <w:pPr>
              <w:numPr>
                <w:ilvl w:val="0"/>
                <w:numId w:val="0"/>
              </w:numPr>
              <w:adjustRightInd w:val="0"/>
              <w:snapToGrid w:val="0"/>
              <w:ind w:leftChars="0"/>
              <w:rPr>
                <w:rFonts w:hint="default" w:cs="宋体" w:asciiTheme="minorEastAsia" w:hAnsiTheme="minorEastAsia"/>
                <w:color w:val="000000" w:themeColor="text1"/>
                <w:sz w:val="24"/>
                <w:szCs w:val="24"/>
                <w:lang w:val="en-US"/>
                <w14:textFill>
                  <w14:solidFill>
                    <w14:schemeClr w14:val="tx1"/>
                  </w14:solidFill>
                </w14:textFill>
              </w:rPr>
            </w:pPr>
          </w:p>
        </w:tc>
        <w:tc>
          <w:tcPr>
            <w:tcW w:w="1354" w:type="dxa"/>
            <w:vAlign w:val="center"/>
          </w:tcPr>
          <w:p w14:paraId="50B943C3">
            <w:pPr>
              <w:spacing w:line="360" w:lineRule="auto"/>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5</w:t>
            </w:r>
          </w:p>
        </w:tc>
      </w:tr>
      <w:tr w14:paraId="724B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412" w:type="dxa"/>
            <w:vMerge w:val="restart"/>
            <w:vAlign w:val="center"/>
          </w:tcPr>
          <w:p w14:paraId="2D707130">
            <w:pPr>
              <w:adjustRightInd w:val="0"/>
              <w:snapToGrid w:val="0"/>
              <w:jc w:val="center"/>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2.2.3</w:t>
            </w:r>
          </w:p>
        </w:tc>
        <w:tc>
          <w:tcPr>
            <w:tcW w:w="1907" w:type="dxa"/>
            <w:vMerge w:val="restart"/>
            <w:vAlign w:val="center"/>
          </w:tcPr>
          <w:p w14:paraId="644BF532">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技术评分标准</w:t>
            </w:r>
          </w:p>
        </w:tc>
        <w:tc>
          <w:tcPr>
            <w:tcW w:w="6086" w:type="dxa"/>
            <w:vAlign w:val="center"/>
          </w:tcPr>
          <w:p w14:paraId="50940B08">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【方案完整性】（30分）</w:t>
            </w:r>
          </w:p>
          <w:p w14:paraId="2F44A860">
            <w:pPr>
              <w:numPr>
                <w:ilvl w:val="0"/>
                <w:numId w:val="12"/>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方案策划 (15分): 对项目目标理解深刻，创意策划思路清晰、新颖，内容架构完整，能精准满足并提升项目需求。优秀(13-15分)，良好(10-12分)，一般(6-9分)，差(0-5分)。</w:t>
            </w:r>
          </w:p>
          <w:p w14:paraId="1A4B5431">
            <w:pPr>
              <w:numPr>
                <w:ilvl w:val="0"/>
                <w:numId w:val="0"/>
              </w:numPr>
              <w:adjustRightInd w:val="0"/>
              <w:snapToGrid w:val="0"/>
              <w:rPr>
                <w:rFonts w:hint="eastAsia" w:cs="宋体" w:asciiTheme="minorEastAsia" w:hAnsiTheme="minorEastAsia"/>
                <w:color w:val="000000" w:themeColor="text1"/>
                <w:sz w:val="24"/>
                <w:szCs w:val="24"/>
                <w:lang w:val="en-US" w:eastAsia="zh-CN"/>
                <w14:textFill>
                  <w14:solidFill>
                    <w14:schemeClr w14:val="tx1"/>
                  </w14:solidFill>
                </w14:textFill>
              </w:rPr>
            </w:pPr>
          </w:p>
          <w:p w14:paraId="29DD05FE">
            <w:pPr>
              <w:numPr>
                <w:ilvl w:val="0"/>
                <w:numId w:val="12"/>
              </w:numPr>
              <w:adjustRightInd w:val="0"/>
              <w:snapToGrid w:val="0"/>
              <w:ind w:left="0" w:leftChars="0" w:firstLine="0" w:firstLine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脚本制作 (10分): 脚本结构严谨，叙事流畅，情节设计合理，镜头语言运用专业，文案精炼有感染力。优秀(8-10分)，良好(6-8分)，一般(3-5分)，差(0-2分)。</w:t>
            </w:r>
          </w:p>
          <w:p w14:paraId="6119B916">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p>
          <w:p w14:paraId="0205A955">
            <w:pPr>
              <w:numPr>
                <w:ilvl w:val="0"/>
                <w:numId w:val="12"/>
              </w:numPr>
              <w:adjustRightInd w:val="0"/>
              <w:snapToGrid w:val="0"/>
              <w:ind w:left="0" w:leftChars="0" w:firstLine="0" w:firstLineChars="0"/>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人员分工与器材配备 (5分): 项目团队（导演、摄像、后期等）分工明确、职责清晰，人员资历匹配；提供的拍摄、灯光、录音等主要设备清单详细、先进且适用（4-5分），配置基本合理（2-3分），配置有欠缺（0-1分）。</w:t>
            </w:r>
          </w:p>
          <w:p w14:paraId="599780F6">
            <w:pPr>
              <w:numPr>
                <w:ilvl w:val="0"/>
                <w:numId w:val="0"/>
              </w:numPr>
              <w:adjustRightInd w:val="0"/>
              <w:snapToGrid w:val="0"/>
              <w:ind w:leftChars="0"/>
              <w:rPr>
                <w:rFonts w:hint="default" w:cs="宋体" w:asciiTheme="minorEastAsia" w:hAnsiTheme="minorEastAsia"/>
                <w:color w:val="000000" w:themeColor="text1"/>
                <w:sz w:val="24"/>
                <w:szCs w:val="24"/>
                <w:lang w:val="en-US" w:eastAsia="zh-CN"/>
                <w14:textFill>
                  <w14:solidFill>
                    <w14:schemeClr w14:val="tx1"/>
                  </w14:solidFill>
                </w14:textFill>
              </w:rPr>
            </w:pPr>
          </w:p>
        </w:tc>
        <w:tc>
          <w:tcPr>
            <w:tcW w:w="1354" w:type="dxa"/>
            <w:vMerge w:val="restart"/>
            <w:vAlign w:val="center"/>
          </w:tcPr>
          <w:p w14:paraId="43624856">
            <w:pPr>
              <w:spacing w:line="360" w:lineRule="auto"/>
              <w:ind w:left="600" w:leftChars="0" w:hanging="600" w:hangingChars="250"/>
              <w:jc w:val="center"/>
              <w:rPr>
                <w:rFonts w:hint="eastAsia" w:cs="宋体" w:asciiTheme="minorEastAsia" w:hAnsiTheme="minorEastAsia"/>
                <w:b w:val="0"/>
                <w:bCs w:val="0"/>
                <w:color w:val="000000" w:themeColor="text1"/>
                <w:sz w:val="24"/>
                <w:lang w:val="en-US" w:eastAsia="zh-CN"/>
                <w14:textFill>
                  <w14:solidFill>
                    <w14:schemeClr w14:val="tx1"/>
                  </w14:solidFill>
                </w14:textFill>
              </w:rPr>
            </w:pPr>
          </w:p>
          <w:p w14:paraId="572F4BCE">
            <w:pPr>
              <w:spacing w:line="360" w:lineRule="auto"/>
              <w:ind w:left="600" w:leftChars="0" w:hanging="600" w:hangingChars="250"/>
              <w:jc w:val="center"/>
              <w:rPr>
                <w:rFonts w:hint="eastAsia" w:cs="宋体" w:asciiTheme="minorEastAsia" w:hAnsiTheme="minorEastAsia"/>
                <w:b w:val="0"/>
                <w:bCs w:val="0"/>
                <w:color w:val="000000" w:themeColor="text1"/>
                <w:sz w:val="24"/>
                <w:lang w:val="en-US" w:eastAsia="zh-CN"/>
                <w14:textFill>
                  <w14:solidFill>
                    <w14:schemeClr w14:val="tx1"/>
                  </w14:solidFill>
                </w14:textFill>
              </w:rPr>
            </w:pPr>
          </w:p>
          <w:p w14:paraId="53802BAF">
            <w:pPr>
              <w:spacing w:line="360" w:lineRule="auto"/>
              <w:ind w:left="600" w:leftChars="0" w:hanging="600" w:hangingChars="250"/>
              <w:jc w:val="center"/>
              <w:rPr>
                <w:rFonts w:hint="default" w:cs="宋体" w:asciiTheme="minorEastAsia" w:hAnsiTheme="minorEastAsia" w:eastAsiaTheme="minorEastAsia"/>
                <w:b w:val="0"/>
                <w:bCs w:val="0"/>
                <w:color w:val="000000" w:themeColor="text1"/>
                <w:sz w:val="24"/>
                <w:lang w:val="en-US" w:eastAsia="zh-CN"/>
                <w14:textFill>
                  <w14:solidFill>
                    <w14:schemeClr w14:val="tx1"/>
                  </w14:solidFill>
                </w14:textFill>
              </w:rPr>
            </w:pPr>
            <w:r>
              <w:rPr>
                <w:rFonts w:hint="eastAsia" w:cs="宋体" w:asciiTheme="minorEastAsia" w:hAnsiTheme="minorEastAsia"/>
                <w:b w:val="0"/>
                <w:bCs w:val="0"/>
                <w:color w:val="000000" w:themeColor="text1"/>
                <w:sz w:val="24"/>
                <w:lang w:val="en-US" w:eastAsia="zh-CN"/>
                <w14:textFill>
                  <w14:solidFill>
                    <w14:schemeClr w14:val="tx1"/>
                  </w14:solidFill>
                </w14:textFill>
              </w:rPr>
              <w:t>70</w:t>
            </w:r>
          </w:p>
        </w:tc>
      </w:tr>
      <w:tr w14:paraId="389A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412" w:type="dxa"/>
            <w:vMerge w:val="continue"/>
            <w:vAlign w:val="center"/>
          </w:tcPr>
          <w:p w14:paraId="21CC6E2F">
            <w:pPr>
              <w:adjustRightInd w:val="0"/>
              <w:snapToGrid w:val="0"/>
              <w:jc w:val="center"/>
              <w:rPr>
                <w:rFonts w:hint="eastAsia" w:cs="宋体" w:asciiTheme="minorEastAsia" w:hAnsiTheme="minorEastAsia"/>
                <w:color w:val="000000" w:themeColor="text1"/>
                <w:kern w:val="0"/>
                <w:sz w:val="24"/>
                <w:szCs w:val="24"/>
                <w14:textFill>
                  <w14:solidFill>
                    <w14:schemeClr w14:val="tx1"/>
                  </w14:solidFill>
                </w14:textFill>
              </w:rPr>
            </w:pPr>
          </w:p>
        </w:tc>
        <w:tc>
          <w:tcPr>
            <w:tcW w:w="1907" w:type="dxa"/>
            <w:vMerge w:val="continue"/>
            <w:vAlign w:val="center"/>
          </w:tcPr>
          <w:p w14:paraId="232F0558">
            <w:pPr>
              <w:adjustRightInd w:val="0"/>
              <w:snapToGrid w:val="0"/>
              <w:jc w:val="center"/>
              <w:rPr>
                <w:rFonts w:hint="eastAsia" w:cs="宋体" w:asciiTheme="minorEastAsia" w:hAnsiTheme="minorEastAsia"/>
                <w:color w:val="000000" w:themeColor="text1"/>
                <w:sz w:val="24"/>
                <w:szCs w:val="24"/>
                <w14:textFill>
                  <w14:solidFill>
                    <w14:schemeClr w14:val="tx1"/>
                  </w14:solidFill>
                </w14:textFill>
              </w:rPr>
            </w:pPr>
          </w:p>
        </w:tc>
        <w:tc>
          <w:tcPr>
            <w:tcW w:w="6086" w:type="dxa"/>
            <w:vAlign w:val="center"/>
          </w:tcPr>
          <w:p w14:paraId="6051E99C">
            <w:pPr>
              <w:numPr>
                <w:ilvl w:val="0"/>
                <w:numId w:val="0"/>
              </w:numPr>
              <w:adjustRightInd w:val="0"/>
              <w:snapToGrid w:val="0"/>
              <w:ind w:leftChars="0"/>
              <w:rPr>
                <w:rFonts w:hint="eastAsia"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【技术专业度】（</w:t>
            </w:r>
            <w:r>
              <w:rPr>
                <w:rFonts w:hint="eastAsia" w:cs="宋体" w:asciiTheme="minorEastAsia" w:hAnsiTheme="minorEastAsia"/>
                <w:color w:val="000000" w:themeColor="text1"/>
                <w:sz w:val="24"/>
                <w:szCs w:val="24"/>
                <w:lang w:val="en-US" w:eastAsia="zh-CN"/>
                <w14:textFill>
                  <w14:solidFill>
                    <w14:schemeClr w14:val="tx1"/>
                  </w14:solidFill>
                </w14:textFill>
              </w:rPr>
              <w:t>20</w:t>
            </w:r>
            <w:r>
              <w:rPr>
                <w:rFonts w:hint="eastAsia" w:cs="宋体" w:asciiTheme="minorEastAsia" w:hAnsiTheme="minorEastAsia"/>
                <w:color w:val="000000" w:themeColor="text1"/>
                <w:sz w:val="24"/>
                <w:szCs w:val="24"/>
                <w:lang w:eastAsia="zh-CN"/>
                <w14:textFill>
                  <w14:solidFill>
                    <w14:schemeClr w14:val="tx1"/>
                  </w14:solidFill>
                </w14:textFill>
              </w:rPr>
              <w:t>分）</w:t>
            </w:r>
          </w:p>
          <w:p w14:paraId="491A38CC">
            <w:pPr>
              <w:numPr>
                <w:ilvl w:val="0"/>
                <w:numId w:val="0"/>
              </w:numPr>
              <w:adjustRightInd w:val="0"/>
              <w:snapToGrid w:val="0"/>
              <w:ind w:leftChars="0"/>
              <w:rPr>
                <w:rFonts w:hint="eastAsia"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拍摄计划（分镜、日程）的周密性；人员、设备、脚本的协调落地程度；时间安排合理性；道具、演员、场地到位情况；现场调度与拍摄逻辑的清晰度；风险预案。</w:t>
            </w:r>
          </w:p>
          <w:p w14:paraId="490D7D4C">
            <w:pPr>
              <w:numPr>
                <w:ilvl w:val="0"/>
                <w:numId w:val="0"/>
              </w:numPr>
              <w:adjustRightInd w:val="0"/>
              <w:snapToGrid w:val="0"/>
              <w:ind w:leftChars="0"/>
              <w:rPr>
                <w:rFonts w:hint="eastAsia"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优秀 (16-20分): 执行计划周密可行，专业把控力强，能高效、精准地实现创意方案。</w:t>
            </w:r>
          </w:p>
          <w:p w14:paraId="0AD5B064">
            <w:pPr>
              <w:numPr>
                <w:ilvl w:val="0"/>
                <w:numId w:val="0"/>
              </w:numPr>
              <w:adjustRightInd w:val="0"/>
              <w:snapToGrid w:val="0"/>
              <w:ind w:leftChars="0"/>
              <w:rPr>
                <w:rFonts w:hint="eastAsia"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良好 (11-15分): 执行计划较为详细，专业控制良好，能稳妥完成拍摄任务。</w:t>
            </w:r>
          </w:p>
          <w:p w14:paraId="012A1600">
            <w:pPr>
              <w:numPr>
                <w:ilvl w:val="0"/>
                <w:numId w:val="0"/>
              </w:numPr>
              <w:adjustRightInd w:val="0"/>
              <w:snapToGrid w:val="0"/>
              <w:ind w:leftChars="0"/>
              <w:rPr>
                <w:rFonts w:hint="eastAsia"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一般 (6-10分): 有基本执行计划，但部分环节存在不确定性，控制力一般。</w:t>
            </w:r>
          </w:p>
          <w:p w14:paraId="0EE677CF">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差 (0-5分): 执行计划粗糙或缺失，专业控制能力弱，实施风险高。</w:t>
            </w:r>
          </w:p>
        </w:tc>
        <w:tc>
          <w:tcPr>
            <w:tcW w:w="1354" w:type="dxa"/>
            <w:vMerge w:val="continue"/>
            <w:vAlign w:val="center"/>
          </w:tcPr>
          <w:p w14:paraId="65BF55F1">
            <w:pPr>
              <w:spacing w:line="360" w:lineRule="auto"/>
              <w:ind w:left="600" w:leftChars="0" w:hanging="600" w:hangingChars="250"/>
              <w:jc w:val="center"/>
              <w:rPr>
                <w:rFonts w:hint="eastAsia" w:cs="宋体" w:asciiTheme="minorEastAsia" w:hAnsiTheme="minorEastAsia"/>
                <w:b w:val="0"/>
                <w:bCs w:val="0"/>
                <w:color w:val="000000" w:themeColor="text1"/>
                <w:sz w:val="24"/>
                <w14:textFill>
                  <w14:solidFill>
                    <w14:schemeClr w14:val="tx1"/>
                  </w14:solidFill>
                </w14:textFill>
              </w:rPr>
            </w:pPr>
          </w:p>
        </w:tc>
      </w:tr>
      <w:tr w14:paraId="4337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412" w:type="dxa"/>
            <w:vMerge w:val="continue"/>
            <w:vAlign w:val="center"/>
          </w:tcPr>
          <w:p w14:paraId="2201CF7A">
            <w:pPr>
              <w:adjustRightInd w:val="0"/>
              <w:snapToGrid w:val="0"/>
              <w:jc w:val="center"/>
              <w:rPr>
                <w:rFonts w:hint="eastAsia" w:cs="宋体" w:asciiTheme="minorEastAsia" w:hAnsiTheme="minorEastAsia"/>
                <w:color w:val="000000" w:themeColor="text1"/>
                <w:kern w:val="0"/>
                <w:sz w:val="24"/>
                <w:szCs w:val="24"/>
                <w14:textFill>
                  <w14:solidFill>
                    <w14:schemeClr w14:val="tx1"/>
                  </w14:solidFill>
                </w14:textFill>
              </w:rPr>
            </w:pPr>
          </w:p>
        </w:tc>
        <w:tc>
          <w:tcPr>
            <w:tcW w:w="1907" w:type="dxa"/>
            <w:vMerge w:val="continue"/>
            <w:vAlign w:val="center"/>
          </w:tcPr>
          <w:p w14:paraId="1BBF589A">
            <w:pPr>
              <w:adjustRightInd w:val="0"/>
              <w:snapToGrid w:val="0"/>
              <w:jc w:val="center"/>
              <w:rPr>
                <w:rFonts w:hint="eastAsia" w:cs="宋体" w:asciiTheme="minorEastAsia" w:hAnsiTheme="minorEastAsia"/>
                <w:color w:val="000000" w:themeColor="text1"/>
                <w:sz w:val="24"/>
                <w:szCs w:val="24"/>
                <w14:textFill>
                  <w14:solidFill>
                    <w14:schemeClr w14:val="tx1"/>
                  </w14:solidFill>
                </w14:textFill>
              </w:rPr>
            </w:pPr>
          </w:p>
        </w:tc>
        <w:tc>
          <w:tcPr>
            <w:tcW w:w="6086" w:type="dxa"/>
            <w:vAlign w:val="center"/>
          </w:tcPr>
          <w:p w14:paraId="509B5E86">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【作品优质性】（15分）</w:t>
            </w:r>
          </w:p>
          <w:p w14:paraId="362A2F56">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视频素材的整理、筛选与分类水平；剪辑节奏、调色、音效、特效、包装等制作技术的运用；最终成片的视觉冲击力、艺术感染力和整体完成度。</w:t>
            </w:r>
          </w:p>
          <w:p w14:paraId="79EDBA43">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优秀 (13-15分): 制作精良，包装创意突出，视听语言运用娴熟，成片效果卓越。</w:t>
            </w:r>
          </w:p>
          <w:p w14:paraId="4A8E6CB4">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良好 (10-12分): 制作良好，包装得当，成片效果达到预期，有一定表现力。</w:t>
            </w:r>
          </w:p>
          <w:p w14:paraId="70B8904D">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一般 (5-9分): 制作水平普通，包装简单，成片效果基本合格。</w:t>
            </w:r>
          </w:p>
          <w:p w14:paraId="549EB279">
            <w:pPr>
              <w:numPr>
                <w:ilvl w:val="0"/>
                <w:numId w:val="0"/>
              </w:numPr>
              <w:adjustRightInd w:val="0"/>
              <w:snapToGrid w:val="0"/>
              <w:ind w:leftChars="0"/>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差 (0-5分): 制作粗糙，包装低劣，成片效果差。</w:t>
            </w:r>
          </w:p>
        </w:tc>
        <w:tc>
          <w:tcPr>
            <w:tcW w:w="1354" w:type="dxa"/>
            <w:vMerge w:val="continue"/>
            <w:vAlign w:val="center"/>
          </w:tcPr>
          <w:p w14:paraId="3A1AC90D">
            <w:pPr>
              <w:spacing w:line="360" w:lineRule="auto"/>
              <w:ind w:left="600" w:leftChars="0" w:hanging="600" w:hangingChars="250"/>
              <w:jc w:val="center"/>
              <w:rPr>
                <w:rFonts w:hint="eastAsia" w:cs="宋体" w:asciiTheme="minorEastAsia" w:hAnsiTheme="minorEastAsia"/>
                <w:b w:val="0"/>
                <w:bCs w:val="0"/>
                <w:color w:val="000000" w:themeColor="text1"/>
                <w:sz w:val="24"/>
                <w14:textFill>
                  <w14:solidFill>
                    <w14:schemeClr w14:val="tx1"/>
                  </w14:solidFill>
                </w14:textFill>
              </w:rPr>
            </w:pPr>
          </w:p>
        </w:tc>
      </w:tr>
      <w:tr w14:paraId="0046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412" w:type="dxa"/>
            <w:vMerge w:val="continue"/>
            <w:vAlign w:val="center"/>
          </w:tcPr>
          <w:p w14:paraId="0A86D5B2">
            <w:pPr>
              <w:adjustRightInd w:val="0"/>
              <w:snapToGrid w:val="0"/>
              <w:jc w:val="center"/>
              <w:rPr>
                <w:rFonts w:hint="eastAsia" w:cs="宋体" w:asciiTheme="minorEastAsia" w:hAnsiTheme="minorEastAsia"/>
                <w:color w:val="000000" w:themeColor="text1"/>
                <w:kern w:val="0"/>
                <w:sz w:val="24"/>
                <w:szCs w:val="24"/>
                <w14:textFill>
                  <w14:solidFill>
                    <w14:schemeClr w14:val="tx1"/>
                  </w14:solidFill>
                </w14:textFill>
              </w:rPr>
            </w:pPr>
          </w:p>
        </w:tc>
        <w:tc>
          <w:tcPr>
            <w:tcW w:w="1907" w:type="dxa"/>
            <w:vMerge w:val="continue"/>
            <w:vAlign w:val="center"/>
          </w:tcPr>
          <w:p w14:paraId="7C8E93AF">
            <w:pPr>
              <w:adjustRightInd w:val="0"/>
              <w:snapToGrid w:val="0"/>
              <w:jc w:val="center"/>
              <w:rPr>
                <w:rFonts w:hint="eastAsia" w:cs="宋体" w:asciiTheme="minorEastAsia" w:hAnsiTheme="minorEastAsia"/>
                <w:color w:val="000000" w:themeColor="text1"/>
                <w:sz w:val="24"/>
                <w:szCs w:val="24"/>
                <w14:textFill>
                  <w14:solidFill>
                    <w14:schemeClr w14:val="tx1"/>
                  </w14:solidFill>
                </w14:textFill>
              </w:rPr>
            </w:pPr>
          </w:p>
        </w:tc>
        <w:tc>
          <w:tcPr>
            <w:tcW w:w="6086" w:type="dxa"/>
            <w:vAlign w:val="center"/>
          </w:tcPr>
          <w:p w14:paraId="0C735E84">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【售后服务】（5分）</w:t>
            </w:r>
          </w:p>
          <w:p w14:paraId="404D15B5">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是否提供详细、可操作的售后服务体系、保障措施、具体承诺（如修改次数、响应时限）、客户资料建档管理方案及应急响应机制。</w:t>
            </w:r>
          </w:p>
          <w:p w14:paraId="02864FDC">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优秀 (5分): 服务体系完整、措施具体、承诺明确、响应机制健全。</w:t>
            </w:r>
          </w:p>
          <w:p w14:paraId="2825EF1B">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良好 (3-4分): 服务体系较完整，有基本措施和承诺。</w:t>
            </w:r>
          </w:p>
          <w:p w14:paraId="46A5BB6A">
            <w:pPr>
              <w:numPr>
                <w:ilvl w:val="0"/>
                <w:numId w:val="0"/>
              </w:numPr>
              <w:adjustRightInd w:val="0"/>
              <w:snapToGrid w:val="0"/>
              <w:ind w:leftChars="0"/>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一般 (1-2分): 仅提供简单服务承诺，缺乏系统性。</w:t>
            </w:r>
          </w:p>
          <w:p w14:paraId="4FC3FC57">
            <w:pPr>
              <w:numPr>
                <w:ilvl w:val="0"/>
                <w:numId w:val="0"/>
              </w:numPr>
              <w:adjustRightInd w:val="0"/>
              <w:snapToGrid w:val="0"/>
              <w:ind w:leftChars="0"/>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差 (0分): 未提供售后服务相关内容。</w:t>
            </w:r>
          </w:p>
        </w:tc>
        <w:tc>
          <w:tcPr>
            <w:tcW w:w="1354" w:type="dxa"/>
            <w:vMerge w:val="continue"/>
            <w:vAlign w:val="center"/>
          </w:tcPr>
          <w:p w14:paraId="5A57F3C3">
            <w:pPr>
              <w:spacing w:line="360" w:lineRule="auto"/>
              <w:ind w:left="600" w:leftChars="0" w:hanging="600" w:hangingChars="250"/>
              <w:jc w:val="center"/>
              <w:rPr>
                <w:rFonts w:hint="eastAsia" w:cs="宋体" w:asciiTheme="minorEastAsia" w:hAnsiTheme="minorEastAsia"/>
                <w:b w:val="0"/>
                <w:bCs w:val="0"/>
                <w:color w:val="000000" w:themeColor="text1"/>
                <w:sz w:val="24"/>
                <w14:textFill>
                  <w14:solidFill>
                    <w14:schemeClr w14:val="tx1"/>
                  </w14:solidFill>
                </w14:textFill>
              </w:rPr>
            </w:pPr>
          </w:p>
        </w:tc>
      </w:tr>
      <w:tr w14:paraId="606B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412" w:type="dxa"/>
            <w:vAlign w:val="center"/>
          </w:tcPr>
          <w:p w14:paraId="45F3F674">
            <w:pPr>
              <w:adjustRightInd w:val="0"/>
              <w:snapToGrid w:val="0"/>
              <w:jc w:val="center"/>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2.2.4</w:t>
            </w:r>
          </w:p>
        </w:tc>
        <w:tc>
          <w:tcPr>
            <w:tcW w:w="1907" w:type="dxa"/>
            <w:vAlign w:val="center"/>
          </w:tcPr>
          <w:p w14:paraId="015EEB5A">
            <w:pPr>
              <w:adjustRightInd w:val="0"/>
              <w:snapToGrid w:val="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投标报价评分标准</w:t>
            </w:r>
          </w:p>
        </w:tc>
        <w:tc>
          <w:tcPr>
            <w:tcW w:w="6086" w:type="dxa"/>
            <w:vAlign w:val="center"/>
          </w:tcPr>
          <w:p w14:paraId="5F15D832">
            <w:pPr>
              <w:numPr>
                <w:ilvl w:val="0"/>
                <w:numId w:val="0"/>
              </w:numPr>
              <w:adjustRightInd w:val="0"/>
              <w:snapToGrid w:val="0"/>
              <w:ind w:leftChars="0"/>
              <w:rPr>
                <w:rFonts w:hint="eastAsia" w:cs="宋体" w:asciiTheme="minorEastAsia" w:hAnsiTheme="minorEastAsia"/>
                <w:color w:val="auto"/>
                <w:sz w:val="24"/>
                <w:szCs w:val="24"/>
                <w:lang w:val="en-US" w:eastAsia="zh-CN"/>
              </w:rPr>
            </w:pPr>
            <w:r>
              <w:rPr>
                <w:rFonts w:hint="eastAsia" w:cs="宋体" w:asciiTheme="minorEastAsia" w:hAnsiTheme="minorEastAsia"/>
                <w:color w:val="auto"/>
                <w:sz w:val="24"/>
                <w:szCs w:val="24"/>
                <w:lang w:val="en-US" w:eastAsia="zh-CN"/>
              </w:rPr>
              <w:t>根据投标公司数量，将15分划分为与投标公司数量相同的几个区间分值，根据投标报价，由低到高降序打分（即报价越低的得分越高）。</w:t>
            </w:r>
          </w:p>
          <w:p w14:paraId="02823FEB">
            <w:pPr>
              <w:adjustRightInd w:val="0"/>
              <w:snapToGrid w:val="0"/>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auto"/>
                <w:sz w:val="24"/>
                <w:szCs w:val="24"/>
                <w:lang w:val="en-US" w:eastAsia="zh-CN"/>
              </w:rPr>
              <w:t>由审计监察部根据投标单位的方案提供控标价，投标单位对比控标价增减1%对应值加减2分。</w:t>
            </w:r>
          </w:p>
        </w:tc>
        <w:tc>
          <w:tcPr>
            <w:tcW w:w="1354" w:type="dxa"/>
            <w:vAlign w:val="center"/>
          </w:tcPr>
          <w:p w14:paraId="232E7F8E">
            <w:pPr>
              <w:spacing w:line="360" w:lineRule="auto"/>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15</w:t>
            </w:r>
          </w:p>
        </w:tc>
      </w:tr>
    </w:tbl>
    <w:p w14:paraId="3453A971">
      <w:pPr>
        <w:pStyle w:val="19"/>
        <w:numPr>
          <w:ilvl w:val="0"/>
          <w:numId w:val="9"/>
        </w:numPr>
        <w:spacing w:line="360" w:lineRule="auto"/>
        <w:ind w:firstLineChars="0"/>
        <w:rPr>
          <w:rFonts w:cs="宋体" w:asciiTheme="minorEastAsia" w:hAnsiTheme="minorEastAsia"/>
          <w:b/>
          <w:bCs/>
          <w:color w:val="auto"/>
          <w:sz w:val="24"/>
        </w:rPr>
      </w:pPr>
      <w:r>
        <w:rPr>
          <w:rFonts w:hint="eastAsia" w:cs="宋体" w:asciiTheme="minorEastAsia" w:hAnsiTheme="minorEastAsia"/>
          <w:b/>
          <w:bCs/>
          <w:color w:val="auto"/>
          <w:sz w:val="24"/>
        </w:rPr>
        <w:t>评标方法</w:t>
      </w:r>
    </w:p>
    <w:p w14:paraId="44D127EA">
      <w:pPr>
        <w:spacing w:line="360" w:lineRule="auto"/>
        <w:ind w:firstLine="424" w:firstLineChars="177"/>
        <w:rPr>
          <w:rFonts w:asciiTheme="minorEastAsia" w:hAnsiTheme="minorEastAsia"/>
          <w:color w:val="auto"/>
          <w:sz w:val="24"/>
          <w:szCs w:val="24"/>
        </w:rPr>
      </w:pPr>
      <w:r>
        <w:rPr>
          <w:rFonts w:hint="eastAsia" w:asciiTheme="minorEastAsia" w:hAnsiTheme="minorEastAsia"/>
          <w:color w:val="auto"/>
          <w:sz w:val="24"/>
          <w:szCs w:val="24"/>
        </w:rPr>
        <w:t>本次评标采用综合评分法。评标委员会对满足招标文件实质性要求的投标文件，按照本章规定的评分标准进行打分，并按得分由高到低顺序推荐中标候选人。</w:t>
      </w:r>
    </w:p>
    <w:p w14:paraId="22D6C2C7">
      <w:pPr>
        <w:pStyle w:val="19"/>
        <w:numPr>
          <w:ilvl w:val="0"/>
          <w:numId w:val="9"/>
        </w:numPr>
        <w:spacing w:line="360" w:lineRule="auto"/>
        <w:ind w:firstLineChars="0"/>
        <w:rPr>
          <w:rFonts w:cs="宋体" w:asciiTheme="minorEastAsia" w:hAnsiTheme="minorEastAsia"/>
          <w:b/>
          <w:bCs/>
          <w:color w:val="auto"/>
          <w:sz w:val="24"/>
        </w:rPr>
      </w:pPr>
      <w:r>
        <w:rPr>
          <w:rFonts w:hint="eastAsia" w:cs="宋体" w:asciiTheme="minorEastAsia" w:hAnsiTheme="minorEastAsia"/>
          <w:b/>
          <w:bCs/>
          <w:color w:val="auto"/>
          <w:sz w:val="24"/>
        </w:rPr>
        <w:t>评标程序</w:t>
      </w:r>
    </w:p>
    <w:p w14:paraId="324F2933">
      <w:pPr>
        <w:spacing w:line="360" w:lineRule="auto"/>
        <w:ind w:firstLine="424" w:firstLineChars="177"/>
        <w:rPr>
          <w:rFonts w:asciiTheme="minorEastAsia" w:hAnsiTheme="minorEastAsia"/>
          <w:b w:val="0"/>
          <w:bCs w:val="0"/>
          <w:color w:val="auto"/>
          <w:sz w:val="24"/>
          <w:szCs w:val="24"/>
        </w:rPr>
      </w:pPr>
      <w:r>
        <w:rPr>
          <w:rFonts w:hint="eastAsia" w:asciiTheme="minorEastAsia" w:hAnsiTheme="minorEastAsia"/>
          <w:b w:val="0"/>
          <w:bCs w:val="0"/>
          <w:color w:val="auto"/>
          <w:sz w:val="24"/>
          <w:szCs w:val="24"/>
        </w:rPr>
        <w:t>5.1 初步评审</w:t>
      </w:r>
    </w:p>
    <w:p w14:paraId="5CDAAD21">
      <w:pPr>
        <w:snapToGrid w:val="0"/>
        <w:spacing w:line="360" w:lineRule="auto"/>
        <w:ind w:firstLine="424" w:firstLineChars="177"/>
        <w:rPr>
          <w:rFonts w:hint="eastAsia" w:asciiTheme="minorEastAsia" w:hAnsiTheme="minorEastAsia"/>
          <w:color w:val="auto"/>
          <w:sz w:val="24"/>
          <w:szCs w:val="24"/>
        </w:rPr>
      </w:pPr>
      <w:r>
        <w:rPr>
          <w:rFonts w:hint="eastAsia" w:asciiTheme="minorEastAsia" w:hAnsiTheme="minorEastAsia"/>
          <w:color w:val="auto"/>
          <w:sz w:val="24"/>
          <w:szCs w:val="24"/>
        </w:rPr>
        <w:t>5.1.1 评标委员会可以要求投标人提交第三章“投标人资格要求”规定的有关证明和证件的原件，以便核验。</w:t>
      </w:r>
    </w:p>
    <w:p w14:paraId="2A29623F">
      <w:pPr>
        <w:snapToGrid w:val="0"/>
        <w:spacing w:line="360" w:lineRule="auto"/>
        <w:ind w:firstLine="424" w:firstLineChars="177"/>
        <w:rPr>
          <w:rFonts w:asciiTheme="minorEastAsia" w:hAnsiTheme="minorEastAsia"/>
          <w:color w:val="auto"/>
          <w:sz w:val="24"/>
          <w:szCs w:val="24"/>
        </w:rPr>
      </w:pPr>
      <w:r>
        <w:rPr>
          <w:rFonts w:hint="eastAsia" w:asciiTheme="minorEastAsia" w:hAnsiTheme="minorEastAsia"/>
          <w:color w:val="auto"/>
          <w:sz w:val="24"/>
          <w:szCs w:val="24"/>
          <w:lang w:val="en-US" w:eastAsia="zh-CN"/>
        </w:rPr>
        <w:t xml:space="preserve">5.1.2 </w:t>
      </w:r>
      <w:r>
        <w:rPr>
          <w:rFonts w:hint="eastAsia" w:asciiTheme="minorEastAsia" w:hAnsiTheme="minorEastAsia"/>
          <w:color w:val="auto"/>
          <w:sz w:val="24"/>
          <w:szCs w:val="24"/>
        </w:rPr>
        <w:t>评标委员会依据本章第2.1款的规定对投标文件进行初步评审。有一项不符合评审标准的，评标委员会应当否决其投标。</w:t>
      </w:r>
    </w:p>
    <w:p w14:paraId="0E23D728">
      <w:pPr>
        <w:spacing w:line="360" w:lineRule="auto"/>
        <w:ind w:firstLine="424" w:firstLineChars="177"/>
        <w:rPr>
          <w:rFonts w:asciiTheme="minorEastAsia" w:hAnsiTheme="minorEastAsia"/>
          <w:color w:val="auto"/>
          <w:sz w:val="24"/>
          <w:szCs w:val="24"/>
        </w:rPr>
      </w:pPr>
      <w:r>
        <w:rPr>
          <w:rFonts w:hint="eastAsia" w:asciiTheme="minorEastAsia" w:hAnsiTheme="minorEastAsia"/>
          <w:color w:val="auto"/>
          <w:sz w:val="24"/>
          <w:szCs w:val="24"/>
        </w:rPr>
        <w:t>5.2 详细评审</w:t>
      </w:r>
    </w:p>
    <w:p w14:paraId="4E0EE2A0">
      <w:pPr>
        <w:spacing w:line="360" w:lineRule="auto"/>
        <w:ind w:firstLine="424" w:firstLineChars="177"/>
        <w:rPr>
          <w:rFonts w:asciiTheme="minorEastAsia" w:hAnsiTheme="minorEastAsia"/>
          <w:color w:val="auto"/>
          <w:sz w:val="24"/>
          <w:szCs w:val="24"/>
        </w:rPr>
      </w:pPr>
      <w:r>
        <w:rPr>
          <w:rFonts w:hint="eastAsia" w:asciiTheme="minorEastAsia" w:hAnsiTheme="minorEastAsia"/>
          <w:color w:val="auto"/>
          <w:sz w:val="24"/>
          <w:szCs w:val="24"/>
        </w:rPr>
        <w:t>5.2.1 评标委员会按本章第2.2款规定的量化因素和分值进行打分，并计算出综合评估得分。</w:t>
      </w:r>
    </w:p>
    <w:p w14:paraId="50DB4B62">
      <w:pPr>
        <w:pStyle w:val="19"/>
        <w:numPr>
          <w:ilvl w:val="0"/>
          <w:numId w:val="13"/>
        </w:numPr>
        <w:snapToGrid w:val="0"/>
        <w:spacing w:line="360" w:lineRule="auto"/>
        <w:ind w:firstLine="6" w:firstLineChars="0"/>
        <w:rPr>
          <w:rStyle w:val="24"/>
          <w:rFonts w:asciiTheme="minorEastAsia" w:hAnsiTheme="minorEastAsia"/>
          <w:color w:val="auto"/>
          <w:lang w:val="zh-CN"/>
        </w:rPr>
      </w:pPr>
      <w:r>
        <w:rPr>
          <w:rStyle w:val="24"/>
          <w:rFonts w:hint="eastAsia" w:asciiTheme="minorEastAsia" w:hAnsiTheme="minorEastAsia"/>
          <w:color w:val="auto"/>
          <w:lang w:val="zh-CN"/>
        </w:rPr>
        <w:t>按本章第2.2.2目规定的评审因素和分值对商务部分计算出得分A；</w:t>
      </w:r>
    </w:p>
    <w:p w14:paraId="14E09B10">
      <w:pPr>
        <w:pStyle w:val="19"/>
        <w:numPr>
          <w:ilvl w:val="0"/>
          <w:numId w:val="13"/>
        </w:numPr>
        <w:snapToGrid w:val="0"/>
        <w:spacing w:line="360" w:lineRule="auto"/>
        <w:ind w:firstLine="6" w:firstLineChars="0"/>
        <w:jc w:val="left"/>
        <w:rPr>
          <w:rStyle w:val="24"/>
          <w:rFonts w:asciiTheme="minorEastAsia" w:hAnsiTheme="minorEastAsia"/>
          <w:color w:val="auto"/>
          <w:lang w:val="zh-CN"/>
        </w:rPr>
      </w:pPr>
      <w:r>
        <w:rPr>
          <w:rStyle w:val="24"/>
          <w:rFonts w:hint="eastAsia" w:asciiTheme="minorEastAsia" w:hAnsiTheme="minorEastAsia"/>
          <w:color w:val="auto"/>
          <w:lang w:val="zh-CN"/>
        </w:rPr>
        <w:t>按本章第2.2.3目规定的评审因素和分值对技术部分计算出得分B；</w:t>
      </w:r>
    </w:p>
    <w:p w14:paraId="7B48D88F">
      <w:pPr>
        <w:pStyle w:val="19"/>
        <w:numPr>
          <w:ilvl w:val="0"/>
          <w:numId w:val="13"/>
        </w:numPr>
        <w:snapToGrid w:val="0"/>
        <w:spacing w:line="360" w:lineRule="auto"/>
        <w:ind w:firstLine="6" w:firstLineChars="0"/>
        <w:jc w:val="left"/>
        <w:rPr>
          <w:rStyle w:val="24"/>
          <w:rFonts w:asciiTheme="minorEastAsia" w:hAnsiTheme="minorEastAsia"/>
          <w:color w:val="auto"/>
          <w:lang w:val="zh-CN"/>
        </w:rPr>
      </w:pPr>
      <w:r>
        <w:rPr>
          <w:rStyle w:val="24"/>
          <w:rFonts w:hint="eastAsia" w:asciiTheme="minorEastAsia" w:hAnsiTheme="minorEastAsia"/>
          <w:color w:val="auto"/>
          <w:lang w:val="zh-CN"/>
        </w:rPr>
        <w:t>按本章第2.2.</w:t>
      </w:r>
      <w:r>
        <w:rPr>
          <w:rStyle w:val="24"/>
          <w:rFonts w:hint="eastAsia" w:asciiTheme="minorEastAsia" w:hAnsiTheme="minorEastAsia"/>
          <w:color w:val="auto"/>
          <w:lang w:val="en-US" w:eastAsia="zh-CN"/>
        </w:rPr>
        <w:t>4</w:t>
      </w:r>
      <w:r>
        <w:rPr>
          <w:rStyle w:val="24"/>
          <w:rFonts w:hint="eastAsia" w:asciiTheme="minorEastAsia" w:hAnsiTheme="minorEastAsia"/>
          <w:color w:val="auto"/>
          <w:lang w:val="zh-CN"/>
        </w:rPr>
        <w:t>目规定的评审因素和分值对</w:t>
      </w:r>
      <w:r>
        <w:rPr>
          <w:rStyle w:val="24"/>
          <w:rFonts w:hint="eastAsia" w:asciiTheme="minorEastAsia" w:hAnsiTheme="minorEastAsia"/>
          <w:color w:val="auto"/>
          <w:lang w:val="en-US" w:eastAsia="zh-CN"/>
        </w:rPr>
        <w:t>投标报价</w:t>
      </w:r>
      <w:r>
        <w:rPr>
          <w:rStyle w:val="24"/>
          <w:rFonts w:hint="eastAsia" w:asciiTheme="minorEastAsia" w:hAnsiTheme="minorEastAsia"/>
          <w:color w:val="auto"/>
          <w:lang w:val="zh-CN"/>
        </w:rPr>
        <w:t>计算出得分</w:t>
      </w:r>
      <w:r>
        <w:rPr>
          <w:rStyle w:val="24"/>
          <w:rFonts w:hint="eastAsia" w:asciiTheme="minorEastAsia" w:hAnsiTheme="minorEastAsia"/>
          <w:color w:val="auto"/>
          <w:lang w:val="en-US" w:eastAsia="zh-CN"/>
        </w:rPr>
        <w:t>C；</w:t>
      </w:r>
    </w:p>
    <w:p w14:paraId="4FA220B0">
      <w:pPr>
        <w:spacing w:line="360" w:lineRule="auto"/>
        <w:ind w:firstLine="424" w:firstLineChars="177"/>
        <w:jc w:val="left"/>
        <w:rPr>
          <w:rFonts w:asciiTheme="minorEastAsia" w:hAnsiTheme="minorEastAsia"/>
          <w:color w:val="auto"/>
          <w:sz w:val="24"/>
          <w:szCs w:val="24"/>
        </w:rPr>
      </w:pPr>
      <w:r>
        <w:rPr>
          <w:rFonts w:hint="eastAsia" w:asciiTheme="minorEastAsia" w:hAnsiTheme="minorEastAsia"/>
          <w:color w:val="auto"/>
          <w:sz w:val="24"/>
          <w:szCs w:val="24"/>
        </w:rPr>
        <w:t>5.2.2 评分分值计算保留小数点后两位，小数点后第三位“四舍五入”。</w:t>
      </w:r>
    </w:p>
    <w:p w14:paraId="27F72E9E">
      <w:pPr>
        <w:spacing w:line="360" w:lineRule="auto"/>
        <w:ind w:firstLine="424" w:firstLineChars="177"/>
        <w:jc w:val="left"/>
        <w:rPr>
          <w:rFonts w:asciiTheme="minorEastAsia" w:hAnsiTheme="minorEastAsia"/>
          <w:color w:val="auto"/>
          <w:sz w:val="24"/>
          <w:szCs w:val="24"/>
        </w:rPr>
      </w:pPr>
      <w:r>
        <w:rPr>
          <w:rFonts w:hint="eastAsia" w:asciiTheme="minorEastAsia" w:hAnsiTheme="minorEastAsia"/>
          <w:color w:val="auto"/>
          <w:sz w:val="24"/>
          <w:szCs w:val="24"/>
        </w:rPr>
        <w:t>5.2.3 投标人得分=A+B</w:t>
      </w:r>
      <w:r>
        <w:rPr>
          <w:rFonts w:hint="eastAsia" w:asciiTheme="minorEastAsia" w:hAnsiTheme="minorEastAsia"/>
          <w:color w:val="auto"/>
          <w:sz w:val="24"/>
          <w:szCs w:val="24"/>
          <w:lang w:val="en-US" w:eastAsia="zh-CN"/>
        </w:rPr>
        <w:t>+C</w:t>
      </w:r>
      <w:r>
        <w:rPr>
          <w:rFonts w:hint="eastAsia" w:asciiTheme="minorEastAsia" w:hAnsiTheme="minorEastAsia"/>
          <w:color w:val="auto"/>
          <w:sz w:val="24"/>
          <w:szCs w:val="24"/>
        </w:rPr>
        <w:t>。</w:t>
      </w:r>
    </w:p>
    <w:p w14:paraId="0EC2C66E">
      <w:pPr>
        <w:spacing w:line="360" w:lineRule="auto"/>
        <w:ind w:firstLine="424" w:firstLineChars="177"/>
        <w:jc w:val="left"/>
        <w:rPr>
          <w:rFonts w:asciiTheme="minorEastAsia" w:hAnsiTheme="minorEastAsia"/>
          <w:color w:val="auto"/>
          <w:sz w:val="24"/>
          <w:szCs w:val="24"/>
        </w:rPr>
      </w:pPr>
      <w:r>
        <w:rPr>
          <w:rFonts w:hint="eastAsia" w:asciiTheme="minorEastAsia" w:hAnsiTheme="minorEastAsia"/>
          <w:color w:val="auto"/>
          <w:sz w:val="24"/>
          <w:szCs w:val="24"/>
        </w:rPr>
        <w:t>5.3 投标文件的澄清</w:t>
      </w:r>
    </w:p>
    <w:p w14:paraId="02611476">
      <w:pPr>
        <w:spacing w:line="360" w:lineRule="auto"/>
        <w:ind w:firstLine="424" w:firstLineChars="177"/>
        <w:rPr>
          <w:rFonts w:asciiTheme="minorEastAsia" w:hAnsiTheme="minorEastAsia"/>
          <w:color w:val="auto"/>
          <w:sz w:val="24"/>
          <w:szCs w:val="24"/>
        </w:rPr>
      </w:pPr>
      <w:r>
        <w:rPr>
          <w:rFonts w:hint="eastAsia" w:asciiTheme="minorEastAsia" w:hAnsiTheme="minorEastAsia"/>
          <w:color w:val="auto"/>
          <w:sz w:val="24"/>
          <w:szCs w:val="24"/>
        </w:rPr>
        <w:t>5.3.1 在评标过程中，评标委员会可以电话会议或书面形式要求投标人对投标文件中含义不明确、对同类问题表述不一致或者有明显文字和计算错误的内容</w:t>
      </w:r>
      <w:r>
        <w:rPr>
          <w:rFonts w:hint="eastAsia" w:asciiTheme="minorEastAsia" w:hAnsiTheme="minorEastAsia"/>
          <w:color w:val="auto"/>
          <w:sz w:val="24"/>
          <w:szCs w:val="24"/>
          <w:lang w:val="en-US" w:eastAsia="zh-CN"/>
        </w:rPr>
        <w:t>做</w:t>
      </w:r>
      <w:r>
        <w:rPr>
          <w:rFonts w:hint="eastAsia" w:asciiTheme="minorEastAsia" w:hAnsiTheme="minorEastAsia"/>
          <w:b w:val="0"/>
          <w:bCs w:val="0"/>
          <w:color w:val="auto"/>
          <w:sz w:val="24"/>
          <w:szCs w:val="24"/>
        </w:rPr>
        <w:t>必要</w:t>
      </w:r>
      <w:r>
        <w:rPr>
          <w:rFonts w:hint="eastAsia" w:asciiTheme="minorEastAsia" w:hAnsiTheme="minorEastAsia"/>
          <w:color w:val="auto"/>
          <w:sz w:val="24"/>
          <w:szCs w:val="24"/>
        </w:rPr>
        <w:t>的澄清、说明或补正。澄清、说明或补正应以书面方式进行。</w:t>
      </w:r>
    </w:p>
    <w:p w14:paraId="0707D4D2">
      <w:pPr>
        <w:spacing w:line="360" w:lineRule="auto"/>
        <w:ind w:firstLine="424" w:firstLineChars="177"/>
        <w:rPr>
          <w:rFonts w:asciiTheme="minorEastAsia" w:hAnsiTheme="minorEastAsia"/>
          <w:color w:val="000000" w:themeColor="text1"/>
          <w:sz w:val="24"/>
          <w:szCs w:val="24"/>
          <w14:textFill>
            <w14:solidFill>
              <w14:schemeClr w14:val="tx1"/>
            </w14:solidFill>
          </w14:textFill>
        </w:rPr>
      </w:pPr>
    </w:p>
    <w:p w14:paraId="4132F1E4">
      <w:pPr>
        <w:pStyle w:val="19"/>
        <w:widowControl/>
        <w:numPr>
          <w:ilvl w:val="0"/>
          <w:numId w:val="1"/>
        </w:numPr>
        <w:shd w:val="clear" w:color="auto" w:fill="FFFFFF"/>
        <w:spacing w:line="360" w:lineRule="auto"/>
        <w:ind w:firstLineChars="0"/>
        <w:jc w:val="left"/>
        <w:outlineLvl w:val="1"/>
        <w:rPr>
          <w:rFonts w:cs="Arial" w:asciiTheme="minorEastAsia" w:hAnsiTheme="minorEastAsia"/>
          <w:b/>
          <w:color w:val="000000" w:themeColor="text1"/>
          <w:kern w:val="0"/>
          <w:sz w:val="32"/>
          <w:szCs w:val="32"/>
          <w14:textFill>
            <w14:solidFill>
              <w14:schemeClr w14:val="tx1"/>
            </w14:solidFill>
          </w14:textFill>
        </w:rPr>
      </w:pPr>
      <w:r>
        <w:rPr>
          <w:rFonts w:hint="eastAsia" w:cs="Arial" w:asciiTheme="minorEastAsia" w:hAnsiTheme="minorEastAsia"/>
          <w:b/>
          <w:color w:val="000000" w:themeColor="text1"/>
          <w:kern w:val="0"/>
          <w:sz w:val="32"/>
          <w:szCs w:val="32"/>
          <w14:textFill>
            <w14:solidFill>
              <w14:schemeClr w14:val="tx1"/>
            </w14:solidFill>
          </w14:textFill>
        </w:rPr>
        <w:t>投标文件的递交</w:t>
      </w:r>
    </w:p>
    <w:p w14:paraId="21F98889">
      <w:pPr>
        <w:pStyle w:val="19"/>
        <w:numPr>
          <w:ilvl w:val="0"/>
          <w:numId w:val="14"/>
        </w:numPr>
        <w:spacing w:line="360" w:lineRule="auto"/>
        <w:ind w:left="426" w:right="-143" w:rightChars="-68" w:hanging="426" w:firstLineChars="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投标文件提交的截止时间为：</w:t>
      </w:r>
      <w:r>
        <w:rPr>
          <w:rFonts w:asciiTheme="minorEastAsia" w:hAnsiTheme="minorEastAsia"/>
          <w:b/>
          <w:bCs/>
          <w:color w:val="000000" w:themeColor="text1"/>
          <w:sz w:val="24"/>
          <w:szCs w:val="24"/>
          <w14:textFill>
            <w14:solidFill>
              <w14:schemeClr w14:val="tx1"/>
            </w14:solidFill>
          </w14:textFill>
        </w:rPr>
        <w:t>202</w:t>
      </w:r>
      <w:r>
        <w:rPr>
          <w:rFonts w:hint="eastAsia" w:asciiTheme="minorEastAsia" w:hAnsiTheme="minorEastAsia"/>
          <w:b/>
          <w:bCs/>
          <w:color w:val="000000" w:themeColor="text1"/>
          <w:sz w:val="24"/>
          <w:szCs w:val="24"/>
          <w:lang w:val="en-US" w:eastAsia="zh-CN"/>
          <w14:textFill>
            <w14:solidFill>
              <w14:schemeClr w14:val="tx1"/>
            </w14:solidFill>
          </w14:textFill>
        </w:rPr>
        <w:t>6</w:t>
      </w:r>
      <w:r>
        <w:rPr>
          <w:rFonts w:hint="eastAsia" w:asciiTheme="minorEastAsia" w:hAnsiTheme="minorEastAsia"/>
          <w:b/>
          <w:bCs/>
          <w:color w:val="000000" w:themeColor="text1"/>
          <w:sz w:val="24"/>
          <w:szCs w:val="24"/>
          <w14:textFill>
            <w14:solidFill>
              <w14:schemeClr w14:val="tx1"/>
            </w14:solidFill>
          </w14:textFill>
        </w:rPr>
        <w:t>年</w:t>
      </w:r>
      <w:r>
        <w:rPr>
          <w:rFonts w:hint="eastAsia" w:asciiTheme="minorEastAsia" w:hAnsiTheme="minorEastAsia"/>
          <w:b/>
          <w:bCs/>
          <w:color w:val="000000" w:themeColor="text1"/>
          <w:sz w:val="24"/>
          <w:szCs w:val="24"/>
          <w:lang w:val="en-US" w:eastAsia="zh-CN"/>
          <w14:textFill>
            <w14:solidFill>
              <w14:schemeClr w14:val="tx1"/>
            </w14:solidFill>
          </w14:textFill>
        </w:rPr>
        <w:t>1</w:t>
      </w:r>
      <w:r>
        <w:rPr>
          <w:rFonts w:hint="eastAsia" w:asciiTheme="minorEastAsia" w:hAnsiTheme="minorEastAsia"/>
          <w:b/>
          <w:bCs/>
          <w:color w:val="000000" w:themeColor="text1"/>
          <w:sz w:val="24"/>
          <w:szCs w:val="24"/>
          <w14:textFill>
            <w14:solidFill>
              <w14:schemeClr w14:val="tx1"/>
            </w14:solidFill>
          </w14:textFill>
        </w:rPr>
        <w:t>月</w:t>
      </w:r>
      <w:r>
        <w:rPr>
          <w:rFonts w:hint="eastAsia" w:asciiTheme="minorEastAsia" w:hAnsiTheme="minorEastAsia"/>
          <w:b/>
          <w:bCs/>
          <w:color w:val="000000" w:themeColor="text1"/>
          <w:sz w:val="24"/>
          <w:szCs w:val="24"/>
          <w:lang w:val="en-US" w:eastAsia="zh-CN"/>
          <w14:textFill>
            <w14:solidFill>
              <w14:schemeClr w14:val="tx1"/>
            </w14:solidFill>
          </w14:textFill>
        </w:rPr>
        <w:t>14</w:t>
      </w:r>
      <w:r>
        <w:rPr>
          <w:rFonts w:hint="eastAsia" w:asciiTheme="minorEastAsia" w:hAnsiTheme="minorEastAsia"/>
          <w:b/>
          <w:bCs/>
          <w:color w:val="000000" w:themeColor="text1"/>
          <w:sz w:val="24"/>
          <w:szCs w:val="24"/>
          <w14:textFill>
            <w14:solidFill>
              <w14:schemeClr w14:val="tx1"/>
            </w14:solidFill>
          </w14:textFill>
        </w:rPr>
        <w:t>日1</w:t>
      </w:r>
      <w:r>
        <w:rPr>
          <w:rFonts w:hint="eastAsia" w:asciiTheme="minorEastAsia" w:hAnsiTheme="minorEastAsia"/>
          <w:b/>
          <w:bCs/>
          <w:color w:val="000000" w:themeColor="text1"/>
          <w:sz w:val="24"/>
          <w:szCs w:val="24"/>
          <w:lang w:val="en-US" w:eastAsia="zh-CN"/>
          <w14:textFill>
            <w14:solidFill>
              <w14:schemeClr w14:val="tx1"/>
            </w14:solidFill>
          </w14:textFill>
        </w:rPr>
        <w:t>7</w:t>
      </w:r>
      <w:r>
        <w:rPr>
          <w:rFonts w:hint="eastAsia" w:asciiTheme="minorEastAsia" w:hAnsiTheme="minorEastAsia"/>
          <w:b/>
          <w:bCs/>
          <w:color w:val="000000" w:themeColor="text1"/>
          <w:sz w:val="24"/>
          <w:szCs w:val="24"/>
          <w14:textFill>
            <w14:solidFill>
              <w14:schemeClr w14:val="tx1"/>
            </w14:solidFill>
          </w14:textFill>
        </w:rPr>
        <w:t>:00</w:t>
      </w:r>
      <w:r>
        <w:rPr>
          <w:rFonts w:hint="eastAsia" w:asciiTheme="minorEastAsia" w:hAnsiTheme="minorEastAsia"/>
          <w:color w:val="000000" w:themeColor="text1"/>
          <w:sz w:val="24"/>
          <w:szCs w:val="24"/>
          <w14:textFill>
            <w14:solidFill>
              <w14:schemeClr w14:val="tx1"/>
            </w14:solidFill>
          </w14:textFill>
        </w:rPr>
        <w:t>，逾期则投标书无效。</w:t>
      </w:r>
    </w:p>
    <w:p w14:paraId="7C75D583">
      <w:pPr>
        <w:pStyle w:val="19"/>
        <w:numPr>
          <w:ilvl w:val="0"/>
          <w:numId w:val="14"/>
        </w:numPr>
        <w:spacing w:line="360" w:lineRule="auto"/>
        <w:ind w:left="426" w:right="-143" w:rightChars="-68" w:hanging="426" w:firstLineChars="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投标文件的组成：</w:t>
      </w:r>
    </w:p>
    <w:p w14:paraId="3F93CAF3">
      <w:pPr>
        <w:pStyle w:val="19"/>
        <w:numPr>
          <w:ilvl w:val="0"/>
          <w:numId w:val="15"/>
        </w:numPr>
        <w:snapToGrid w:val="0"/>
        <w:spacing w:line="360" w:lineRule="auto"/>
        <w:ind w:firstLine="6" w:firstLineChars="0"/>
        <w:jc w:val="left"/>
        <w:rPr>
          <w:rStyle w:val="24"/>
          <w:rFonts w:asciiTheme="minorEastAsia" w:hAnsiTheme="minorEastAsia"/>
          <w:color w:val="000000" w:themeColor="text1"/>
          <w:lang w:val="zh-CN"/>
          <w14:textFill>
            <w14:solidFill>
              <w14:schemeClr w14:val="tx1"/>
            </w14:solidFill>
          </w14:textFill>
        </w:rPr>
      </w:pPr>
      <w:r>
        <w:rPr>
          <w:rStyle w:val="24"/>
          <w:rFonts w:hint="eastAsia" w:asciiTheme="minorEastAsia" w:hAnsiTheme="minorEastAsia"/>
          <w:color w:val="000000" w:themeColor="text1"/>
          <w:lang w:val="zh-CN"/>
          <w14:textFill>
            <w14:solidFill>
              <w14:schemeClr w14:val="tx1"/>
            </w14:solidFill>
          </w14:textFill>
        </w:rPr>
        <w:t xml:space="preserve">电子标书+纸质标书 </w:t>
      </w:r>
    </w:p>
    <w:p w14:paraId="50A6B5D9">
      <w:pPr>
        <w:pStyle w:val="19"/>
        <w:numPr>
          <w:ilvl w:val="0"/>
          <w:numId w:val="15"/>
        </w:numPr>
        <w:snapToGrid w:val="0"/>
        <w:spacing w:line="360" w:lineRule="auto"/>
        <w:ind w:firstLine="6" w:firstLineChars="0"/>
        <w:jc w:val="left"/>
        <w:rPr>
          <w:rStyle w:val="24"/>
          <w:rFonts w:asciiTheme="minorEastAsia" w:hAnsiTheme="minorEastAsia"/>
          <w:color w:val="000000" w:themeColor="text1"/>
          <w:szCs w:val="24"/>
          <w14:textFill>
            <w14:solidFill>
              <w14:schemeClr w14:val="tx1"/>
            </w14:solidFill>
          </w14:textFill>
        </w:rPr>
      </w:pPr>
      <w:r>
        <w:rPr>
          <w:rStyle w:val="24"/>
          <w:rFonts w:hint="eastAsia" w:asciiTheme="minorEastAsia" w:hAnsiTheme="minorEastAsia"/>
          <w:color w:val="000000" w:themeColor="text1"/>
          <w:lang w:val="zh-CN"/>
          <w14:textFill>
            <w14:solidFill>
              <w14:schemeClr w14:val="tx1"/>
            </w14:solidFill>
          </w14:textFill>
        </w:rPr>
        <w:t>说明：纸质投标文件1份，</w:t>
      </w:r>
      <w:r>
        <w:rPr>
          <w:rStyle w:val="24"/>
          <w:rFonts w:hint="eastAsia" w:asciiTheme="minorEastAsia" w:hAnsiTheme="minorEastAsia"/>
          <w:b/>
          <w:bCs/>
          <w:color w:val="000000" w:themeColor="text1"/>
          <w:lang w:val="zh-CN"/>
          <w14:textFill>
            <w14:solidFill>
              <w14:schemeClr w14:val="tx1"/>
            </w14:solidFill>
          </w14:textFill>
        </w:rPr>
        <w:t>电子U盘1份</w:t>
      </w:r>
      <w:r>
        <w:rPr>
          <w:rStyle w:val="24"/>
          <w:rFonts w:hint="eastAsia" w:asciiTheme="minorEastAsia" w:hAnsiTheme="minorEastAsia"/>
          <w:color w:val="000000" w:themeColor="text1"/>
          <w:lang w:val="zh-CN"/>
          <w14:textFill>
            <w14:solidFill>
              <w14:schemeClr w14:val="tx1"/>
            </w14:solidFill>
          </w14:textFill>
        </w:rPr>
        <w:t>。（投标文件需密封并加盖公章，</w:t>
      </w:r>
      <w:r>
        <w:rPr>
          <w:rStyle w:val="24"/>
          <w:rFonts w:hint="eastAsia" w:asciiTheme="minorEastAsia" w:hAnsiTheme="minorEastAsia"/>
          <w:color w:val="000000" w:themeColor="text1"/>
          <w:lang w:val="en-US" w:eastAsia="zh-CN"/>
          <w14:textFill>
            <w14:solidFill>
              <w14:schemeClr w14:val="tx1"/>
            </w14:solidFill>
          </w14:textFill>
        </w:rPr>
        <w:t>U盘与纸质投标文件一起密封在文件袋内</w:t>
      </w:r>
      <w:r>
        <w:rPr>
          <w:rStyle w:val="24"/>
          <w:rFonts w:hint="eastAsia" w:asciiTheme="minorEastAsia" w:hAnsiTheme="minorEastAsia"/>
          <w:color w:val="000000" w:themeColor="text1"/>
          <w:lang w:val="zh-CN"/>
          <w14:textFill>
            <w14:solidFill>
              <w14:schemeClr w14:val="tx1"/>
            </w14:solidFill>
          </w14:textFill>
        </w:rPr>
        <w:t>）</w:t>
      </w:r>
    </w:p>
    <w:p w14:paraId="0A38F4E5">
      <w:pPr>
        <w:snapToGrid w:val="0"/>
        <w:spacing w:line="360" w:lineRule="auto"/>
        <w:ind w:left="420"/>
        <w:jc w:val="left"/>
        <w:rPr>
          <w:rFonts w:asciiTheme="minorEastAsia" w:hAnsiTheme="minorEastAsia"/>
          <w:color w:val="000000" w:themeColor="text1"/>
          <w:sz w:val="24"/>
          <w:szCs w:val="24"/>
          <w14:textFill>
            <w14:solidFill>
              <w14:schemeClr w14:val="tx1"/>
            </w14:solidFill>
          </w14:textFill>
        </w:rPr>
      </w:pPr>
    </w:p>
    <w:p w14:paraId="7BDD893F">
      <w:pPr>
        <w:pStyle w:val="19"/>
        <w:numPr>
          <w:ilvl w:val="0"/>
          <w:numId w:val="14"/>
        </w:numPr>
        <w:spacing w:line="360" w:lineRule="auto"/>
        <w:ind w:left="426" w:right="-143" w:rightChars="-68" w:hanging="426" w:firstLineChars="0"/>
        <w:rPr>
          <w:rFonts w:asciiTheme="minorEastAsia" w:hAnsiTheme="minorEastAsia"/>
          <w:color w:val="auto"/>
          <w:sz w:val="24"/>
          <w:szCs w:val="24"/>
        </w:rPr>
      </w:pPr>
      <w:bookmarkStart w:id="12" w:name="_Toc389065128"/>
      <w:r>
        <w:rPr>
          <w:rFonts w:hint="eastAsia" w:asciiTheme="minorEastAsia" w:hAnsiTheme="minorEastAsia"/>
          <w:color w:val="auto"/>
          <w:sz w:val="24"/>
          <w:szCs w:val="24"/>
        </w:rPr>
        <w:t>招标机构名称：重庆冠达世纪游轮有限公司</w:t>
      </w:r>
    </w:p>
    <w:p w14:paraId="5F4E9A6C">
      <w:pPr>
        <w:pStyle w:val="19"/>
        <w:spacing w:line="360" w:lineRule="auto"/>
        <w:ind w:left="426" w:right="-143" w:rightChars="-68" w:firstLine="0" w:firstLineChars="0"/>
        <w:rPr>
          <w:rFonts w:asciiTheme="minorEastAsia" w:hAnsiTheme="minorEastAsia"/>
          <w:color w:val="auto"/>
          <w:sz w:val="24"/>
          <w:szCs w:val="24"/>
        </w:rPr>
      </w:pPr>
      <w:r>
        <w:rPr>
          <w:rFonts w:hint="eastAsia" w:asciiTheme="minorEastAsia" w:hAnsiTheme="minorEastAsia"/>
          <w:color w:val="auto"/>
          <w:sz w:val="24"/>
          <w:szCs w:val="24"/>
        </w:rPr>
        <w:t>详细地址：</w:t>
      </w:r>
      <w:r>
        <w:rPr>
          <w:rFonts w:hint="eastAsia" w:asciiTheme="minorEastAsia" w:hAnsiTheme="minorEastAsia"/>
          <w:b/>
          <w:bCs/>
          <w:color w:val="auto"/>
          <w:sz w:val="24"/>
          <w:szCs w:val="24"/>
        </w:rPr>
        <w:t>重庆市江北区庆云路6号国金中心T5写字楼1</w:t>
      </w:r>
      <w:r>
        <w:rPr>
          <w:rFonts w:hint="eastAsia" w:asciiTheme="minorEastAsia" w:hAnsiTheme="minorEastAsia"/>
          <w:b/>
          <w:bCs/>
          <w:color w:val="auto"/>
          <w:sz w:val="24"/>
          <w:szCs w:val="24"/>
          <w:lang w:val="en-US" w:eastAsia="zh-CN"/>
        </w:rPr>
        <w:t>7</w:t>
      </w:r>
      <w:r>
        <w:rPr>
          <w:rFonts w:hint="eastAsia" w:asciiTheme="minorEastAsia" w:hAnsiTheme="minorEastAsia"/>
          <w:b/>
          <w:bCs/>
          <w:color w:val="auto"/>
          <w:sz w:val="24"/>
          <w:szCs w:val="24"/>
        </w:rPr>
        <w:t>层</w:t>
      </w:r>
    </w:p>
    <w:p w14:paraId="26E8A7DC">
      <w:pPr>
        <w:pStyle w:val="19"/>
        <w:spacing w:line="360" w:lineRule="auto"/>
        <w:ind w:left="426" w:right="-143" w:rightChars="-68" w:firstLine="0" w:firstLineChars="0"/>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rPr>
        <w:t>联 系 人：</w:t>
      </w:r>
      <w:r>
        <w:rPr>
          <w:rFonts w:hint="eastAsia" w:asciiTheme="minorEastAsia" w:hAnsiTheme="minorEastAsia"/>
          <w:b/>
          <w:bCs/>
          <w:color w:val="auto"/>
          <w:sz w:val="24"/>
          <w:szCs w:val="24"/>
          <w:lang w:val="en-US" w:eastAsia="zh-CN"/>
        </w:rPr>
        <w:t>李老师</w:t>
      </w:r>
    </w:p>
    <w:p w14:paraId="4932A661">
      <w:pPr>
        <w:pStyle w:val="19"/>
        <w:spacing w:line="360" w:lineRule="auto"/>
        <w:ind w:left="426" w:right="-143" w:rightChars="-68" w:firstLine="0" w:firstLineChars="0"/>
        <w:rPr>
          <w:rFonts w:ascii="宋体" w:hAnsi="宋体" w:eastAsia="宋体" w:cs="宋体"/>
          <w:b/>
          <w:bCs/>
          <w:color w:val="auto"/>
          <w:sz w:val="24"/>
          <w:szCs w:val="24"/>
        </w:rPr>
      </w:pPr>
      <w:r>
        <w:rPr>
          <w:rFonts w:asciiTheme="minorEastAsia" w:hAnsiTheme="minorEastAsia"/>
          <w:color w:val="auto"/>
          <w:sz w:val="24"/>
          <w:szCs w:val="24"/>
        </w:rPr>
        <w:t>电</w:t>
      </w:r>
      <w:r>
        <w:rPr>
          <w:rFonts w:hint="eastAsia" w:asciiTheme="minorEastAsia" w:hAnsiTheme="minorEastAsia"/>
          <w:color w:val="auto"/>
          <w:sz w:val="24"/>
          <w:szCs w:val="24"/>
        </w:rPr>
        <w:t xml:space="preserve">    </w:t>
      </w:r>
      <w:r>
        <w:rPr>
          <w:rFonts w:asciiTheme="minorEastAsia" w:hAnsiTheme="minorEastAsia"/>
          <w:color w:val="auto"/>
          <w:sz w:val="24"/>
          <w:szCs w:val="24"/>
        </w:rPr>
        <w:t>话：</w:t>
      </w:r>
      <w:r>
        <w:rPr>
          <w:rFonts w:ascii="宋体" w:hAnsi="宋体" w:eastAsia="宋体" w:cs="宋体"/>
          <w:b/>
          <w:bCs/>
          <w:color w:val="auto"/>
          <w:sz w:val="24"/>
          <w:szCs w:val="24"/>
        </w:rPr>
        <w:t>13983857537</w:t>
      </w:r>
    </w:p>
    <w:p w14:paraId="2E64FAD9">
      <w:pPr>
        <w:pStyle w:val="19"/>
        <w:spacing w:line="360" w:lineRule="auto"/>
        <w:ind w:left="426" w:right="-143" w:rightChars="-68"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若因时间紧迫，来不及投递纸质标书，也可将电子标书直接发送至：</w:t>
      </w:r>
    </w:p>
    <w:p w14:paraId="7414D852">
      <w:pPr>
        <w:pStyle w:val="19"/>
        <w:spacing w:line="360" w:lineRule="auto"/>
        <w:ind w:left="426" w:right="-143" w:rightChars="-68" w:firstLine="0" w:firstLineChars="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监察部邮箱【</w:t>
      </w:r>
      <w:r>
        <w:rPr>
          <w:rFonts w:ascii="宋体" w:hAnsi="宋体" w:eastAsia="宋体" w:cs="宋体"/>
          <w:sz w:val="24"/>
          <w:szCs w:val="24"/>
        </w:rPr>
        <w:t>sjjc@centuryrivercruises.com</w:t>
      </w:r>
      <w:r>
        <w:rPr>
          <w:rFonts w:hint="eastAsia" w:ascii="宋体" w:hAnsi="宋体" w:eastAsia="宋体" w:cs="宋体"/>
          <w:b/>
          <w:bCs/>
          <w:color w:val="auto"/>
          <w:sz w:val="24"/>
          <w:szCs w:val="24"/>
          <w:lang w:val="en-US" w:eastAsia="zh-CN"/>
        </w:rPr>
        <w:t>】</w:t>
      </w:r>
    </w:p>
    <w:p w14:paraId="2B07DE41">
      <w:pPr>
        <w:pStyle w:val="19"/>
        <w:spacing w:line="360" w:lineRule="auto"/>
        <w:ind w:left="426" w:right="-143" w:rightChars="-68" w:firstLine="0" w:firstLineChars="0"/>
        <w:rPr>
          <w:rFonts w:hint="eastAsia" w:asciiTheme="minorEastAsia" w:hAnsiTheme="minorEastAsia"/>
          <w:color w:val="000000" w:themeColor="text1"/>
          <w:sz w:val="24"/>
          <w:szCs w:val="24"/>
          <w14:textFill>
            <w14:solidFill>
              <w14:schemeClr w14:val="tx1"/>
            </w14:solidFill>
          </w14:textFill>
        </w:rPr>
      </w:pPr>
    </w:p>
    <w:bookmarkEnd w:id="12"/>
    <w:p w14:paraId="3E7AA0DF">
      <w:pPr>
        <w:pStyle w:val="19"/>
        <w:numPr>
          <w:ilvl w:val="0"/>
          <w:numId w:val="14"/>
        </w:numPr>
        <w:spacing w:line="360" w:lineRule="auto"/>
        <w:ind w:left="426" w:right="-143" w:rightChars="-68" w:hanging="426" w:firstLineChars="0"/>
        <w:rPr>
          <w:rFonts w:hint="eastAsia"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项目咨询：</w:t>
      </w:r>
    </w:p>
    <w:p w14:paraId="23130CE0">
      <w:pPr>
        <w:pStyle w:val="19"/>
        <w:spacing w:line="360" w:lineRule="auto"/>
        <w:ind w:left="426" w:right="-143" w:rightChars="-68" w:firstLine="0" w:firstLineChars="0"/>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联系人：</w:t>
      </w:r>
      <w:r>
        <w:rPr>
          <w:rFonts w:hint="eastAsia" w:asciiTheme="minorEastAsia" w:hAnsiTheme="minorEastAsia"/>
          <w:b/>
          <w:bCs/>
          <w:color w:val="000000" w:themeColor="text1"/>
          <w:sz w:val="24"/>
          <w:szCs w:val="24"/>
          <w:lang w:val="en-US" w:eastAsia="zh-CN"/>
          <w14:textFill>
            <w14:solidFill>
              <w14:schemeClr w14:val="tx1"/>
            </w14:solidFill>
          </w14:textFill>
        </w:rPr>
        <w:t>郭晨</w:t>
      </w:r>
      <w:bookmarkStart w:id="13" w:name="_GoBack"/>
      <w:bookmarkEnd w:id="13"/>
    </w:p>
    <w:p w14:paraId="62A5FBEF">
      <w:pPr>
        <w:pStyle w:val="19"/>
        <w:spacing w:line="360" w:lineRule="auto"/>
        <w:ind w:left="426" w:right="-143" w:rightChars="-68" w:firstLine="0" w:firstLineChars="0"/>
        <w:rPr>
          <w:rFonts w:hint="default" w:asciiTheme="minorEastAsia" w:hAnsiTheme="minorEastAsia" w:eastAsiaTheme="minorEastAsia"/>
          <w:b/>
          <w:bCs/>
          <w:color w:val="000000" w:themeColor="text1"/>
          <w:sz w:val="24"/>
          <w:szCs w:val="24"/>
          <w:lang w:val="en-US" w:eastAsia="zh-CN"/>
          <w14:textFill>
            <w14:solidFill>
              <w14:schemeClr w14:val="tx1"/>
            </w14:solidFill>
          </w14:textFill>
        </w:rPr>
      </w:pPr>
      <w:r>
        <w:rPr>
          <w:rFonts w:asciiTheme="minorEastAsia" w:hAnsiTheme="minorEastAsia"/>
          <w:b/>
          <w:bCs/>
          <w:color w:val="000000" w:themeColor="text1"/>
          <w:sz w:val="24"/>
          <w:szCs w:val="24"/>
          <w14:textFill>
            <w14:solidFill>
              <w14:schemeClr w14:val="tx1"/>
            </w14:solidFill>
          </w14:textFill>
        </w:rPr>
        <w:t>电</w:t>
      </w:r>
      <w:r>
        <w:rPr>
          <w:rFonts w:hint="eastAsia" w:asciiTheme="minorEastAsia" w:hAnsiTheme="minorEastAsia"/>
          <w:b/>
          <w:bCs/>
          <w:color w:val="000000" w:themeColor="text1"/>
          <w:sz w:val="24"/>
          <w:szCs w:val="24"/>
          <w14:textFill>
            <w14:solidFill>
              <w14:schemeClr w14:val="tx1"/>
            </w14:solidFill>
          </w14:textFill>
        </w:rPr>
        <w:t xml:space="preserve">  </w:t>
      </w:r>
      <w:r>
        <w:rPr>
          <w:rFonts w:asciiTheme="minorEastAsia" w:hAnsiTheme="minorEastAsia"/>
          <w:b/>
          <w:bCs/>
          <w:color w:val="000000" w:themeColor="text1"/>
          <w:sz w:val="24"/>
          <w:szCs w:val="24"/>
          <w14:textFill>
            <w14:solidFill>
              <w14:schemeClr w14:val="tx1"/>
            </w14:solidFill>
          </w14:textFill>
        </w:rPr>
        <w:t>话：</w:t>
      </w:r>
      <w:r>
        <w:rPr>
          <w:rFonts w:hint="eastAsia" w:asciiTheme="minorEastAsia" w:hAnsiTheme="minorEastAsia"/>
          <w:b/>
          <w:bCs/>
          <w:color w:val="000000" w:themeColor="text1"/>
          <w:sz w:val="24"/>
          <w:szCs w:val="24"/>
          <w:lang w:val="en-US" w:eastAsia="zh-CN"/>
          <w14:textFill>
            <w14:solidFill>
              <w14:schemeClr w14:val="tx1"/>
            </w14:solidFill>
          </w14:textFill>
        </w:rPr>
        <w:t>13320289081</w:t>
      </w:r>
    </w:p>
    <w:p w14:paraId="6D7C2C43">
      <w:pPr>
        <w:pStyle w:val="19"/>
        <w:spacing w:line="360" w:lineRule="auto"/>
        <w:ind w:left="426" w:right="-143" w:rightChars="-68" w:firstLine="0" w:firstLineChars="0"/>
        <w:rPr>
          <w:rFonts w:hint="eastAsia" w:asciiTheme="minorEastAsia" w:hAnsiTheme="minorEastAsia"/>
          <w:color w:val="000000" w:themeColor="text1"/>
          <w:sz w:val="24"/>
          <w:szCs w:val="24"/>
          <w14:textFill>
            <w14:solidFill>
              <w14:schemeClr w14:val="tx1"/>
            </w14:solidFill>
          </w14:textFill>
        </w:rPr>
      </w:pPr>
    </w:p>
    <w:p w14:paraId="0690E323">
      <w:pPr>
        <w:pStyle w:val="19"/>
        <w:numPr>
          <w:ilvl w:val="0"/>
          <w:numId w:val="14"/>
        </w:numPr>
        <w:spacing w:line="360" w:lineRule="auto"/>
        <w:ind w:left="426" w:right="-143" w:rightChars="-68" w:hanging="426" w:firstLineChars="0"/>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开标时间：</w:t>
      </w:r>
      <w:r>
        <w:rPr>
          <w:rFonts w:hint="eastAsia" w:asciiTheme="minorEastAsia" w:hAnsiTheme="minorEastAsia"/>
          <w:b/>
          <w:bCs/>
          <w:color w:val="000000" w:themeColor="text1"/>
          <w:sz w:val="24"/>
          <w:szCs w:val="24"/>
          <w14:textFill>
            <w14:solidFill>
              <w14:schemeClr w14:val="tx1"/>
            </w14:solidFill>
          </w14:textFill>
        </w:rPr>
        <w:t>202</w:t>
      </w:r>
      <w:r>
        <w:rPr>
          <w:rFonts w:hint="eastAsia" w:asciiTheme="minorEastAsia" w:hAnsiTheme="minorEastAsia"/>
          <w:b/>
          <w:bCs/>
          <w:color w:val="000000" w:themeColor="text1"/>
          <w:sz w:val="24"/>
          <w:szCs w:val="24"/>
          <w:lang w:val="en-US" w:eastAsia="zh-CN"/>
          <w14:textFill>
            <w14:solidFill>
              <w14:schemeClr w14:val="tx1"/>
            </w14:solidFill>
          </w14:textFill>
        </w:rPr>
        <w:t>6</w:t>
      </w:r>
      <w:r>
        <w:rPr>
          <w:rFonts w:hint="eastAsia" w:asciiTheme="minorEastAsia" w:hAnsiTheme="minorEastAsia"/>
          <w:b/>
          <w:bCs/>
          <w:color w:val="000000" w:themeColor="text1"/>
          <w:sz w:val="24"/>
          <w:szCs w:val="24"/>
          <w14:textFill>
            <w14:solidFill>
              <w14:schemeClr w14:val="tx1"/>
            </w14:solidFill>
          </w14:textFill>
        </w:rPr>
        <w:t>年</w:t>
      </w:r>
      <w:r>
        <w:rPr>
          <w:rFonts w:hint="eastAsia" w:asciiTheme="minorEastAsia" w:hAnsiTheme="minorEastAsia"/>
          <w:b/>
          <w:bCs/>
          <w:color w:val="000000" w:themeColor="text1"/>
          <w:sz w:val="24"/>
          <w:szCs w:val="24"/>
          <w:lang w:val="en-US" w:eastAsia="zh-CN"/>
          <w14:textFill>
            <w14:solidFill>
              <w14:schemeClr w14:val="tx1"/>
            </w14:solidFill>
          </w14:textFill>
        </w:rPr>
        <w:t>1</w:t>
      </w:r>
      <w:r>
        <w:rPr>
          <w:rFonts w:hint="eastAsia" w:asciiTheme="minorEastAsia" w:hAnsiTheme="minorEastAsia"/>
          <w:b/>
          <w:bCs/>
          <w:color w:val="000000" w:themeColor="text1"/>
          <w:sz w:val="24"/>
          <w:szCs w:val="24"/>
          <w14:textFill>
            <w14:solidFill>
              <w14:schemeClr w14:val="tx1"/>
            </w14:solidFill>
          </w14:textFill>
        </w:rPr>
        <w:t>月</w:t>
      </w:r>
      <w:r>
        <w:rPr>
          <w:rFonts w:hint="eastAsia" w:asciiTheme="minorEastAsia" w:hAnsiTheme="minorEastAsia"/>
          <w:b/>
          <w:bCs/>
          <w:color w:val="000000" w:themeColor="text1"/>
          <w:sz w:val="24"/>
          <w:szCs w:val="24"/>
          <w:lang w:val="en-US" w:eastAsia="zh-CN"/>
          <w14:textFill>
            <w14:solidFill>
              <w14:schemeClr w14:val="tx1"/>
            </w14:solidFill>
          </w14:textFill>
        </w:rPr>
        <w:t>15</w:t>
      </w:r>
      <w:r>
        <w:rPr>
          <w:rFonts w:hint="eastAsia" w:asciiTheme="minorEastAsia" w:hAnsiTheme="minorEastAsia"/>
          <w:b/>
          <w:bCs/>
          <w:color w:val="000000" w:themeColor="text1"/>
          <w:sz w:val="24"/>
          <w:szCs w:val="24"/>
          <w14:textFill>
            <w14:solidFill>
              <w14:schemeClr w14:val="tx1"/>
            </w14:solidFill>
          </w14:textFill>
        </w:rPr>
        <w:t>日</w:t>
      </w:r>
      <w:r>
        <w:rPr>
          <w:rFonts w:hint="eastAsia" w:asciiTheme="minorEastAsia" w:hAnsiTheme="minorEastAsia"/>
          <w:b/>
          <w:bCs/>
          <w:color w:val="000000" w:themeColor="text1"/>
          <w:sz w:val="24"/>
          <w:szCs w:val="24"/>
          <w:lang w:val="en-US" w:eastAsia="zh-CN"/>
          <w14:textFill>
            <w14:solidFill>
              <w14:schemeClr w14:val="tx1"/>
            </w14:solidFill>
          </w14:textFill>
        </w:rPr>
        <w:t>上午10:00</w:t>
      </w:r>
      <w:r>
        <w:rPr>
          <w:rFonts w:hint="eastAsia" w:asciiTheme="minorEastAsia" w:hAnsiTheme="minorEastAsia"/>
          <w:color w:val="000000" w:themeColor="text1"/>
          <w:sz w:val="24"/>
          <w:szCs w:val="24"/>
          <w14:textFill>
            <w14:solidFill>
              <w14:schemeClr w14:val="tx1"/>
            </w14:solidFill>
          </w14:textFill>
        </w:rPr>
        <w:t>，需投标方现场讲标、议标，讲标会具体时间另行通知。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JP Bold">
    <w:altName w:val="Segoe Print"/>
    <w:panose1 w:val="00000000000000000000"/>
    <w:charset w:val="00"/>
    <w:family w:val="swiss"/>
    <w:pitch w:val="default"/>
    <w:sig w:usb0="00000000" w:usb1="00000000" w:usb2="00000000" w:usb3="00000000" w:csb0="00000000" w:csb1="00000000"/>
  </w:font>
  <w:font w:name="苹方-简">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26D0"/>
    <w:multiLevelType w:val="singleLevel"/>
    <w:tmpl w:val="BFFE26D0"/>
    <w:lvl w:ilvl="0" w:tentative="0">
      <w:start w:val="1"/>
      <w:numFmt w:val="decimalEnclosedCircleChinese"/>
      <w:suff w:val="space"/>
      <w:lvlText w:val="%1"/>
      <w:lvlJc w:val="left"/>
      <w:rPr>
        <w:rFonts w:hint="eastAsia"/>
      </w:rPr>
    </w:lvl>
  </w:abstractNum>
  <w:abstractNum w:abstractNumId="1">
    <w:nsid w:val="C4F33CC7"/>
    <w:multiLevelType w:val="singleLevel"/>
    <w:tmpl w:val="C4F33CC7"/>
    <w:lvl w:ilvl="0" w:tentative="0">
      <w:start w:val="1"/>
      <w:numFmt w:val="decimal"/>
      <w:suff w:val="nothing"/>
      <w:lvlText w:val="%1、"/>
      <w:lvlJc w:val="left"/>
    </w:lvl>
  </w:abstractNum>
  <w:abstractNum w:abstractNumId="2">
    <w:nsid w:val="EFF4D58E"/>
    <w:multiLevelType w:val="multilevel"/>
    <w:tmpl w:val="EFF4D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2285EAB"/>
    <w:multiLevelType w:val="singleLevel"/>
    <w:tmpl w:val="F2285EAB"/>
    <w:lvl w:ilvl="0" w:tentative="0">
      <w:start w:val="1"/>
      <w:numFmt w:val="decimalEnclosedCircleChinese"/>
      <w:suff w:val="nothing"/>
      <w:lvlText w:val="%1　"/>
      <w:lvlJc w:val="left"/>
      <w:pPr>
        <w:ind w:left="0" w:firstLine="400"/>
      </w:pPr>
      <w:rPr>
        <w:rFonts w:hint="eastAsia"/>
      </w:rPr>
    </w:lvl>
  </w:abstractNum>
  <w:abstractNum w:abstractNumId="4">
    <w:nsid w:val="FFDCD308"/>
    <w:multiLevelType w:val="singleLevel"/>
    <w:tmpl w:val="FFDCD308"/>
    <w:lvl w:ilvl="0" w:tentative="0">
      <w:start w:val="1"/>
      <w:numFmt w:val="decimalEnclosedCircleChinese"/>
      <w:suff w:val="space"/>
      <w:lvlText w:val="%1"/>
      <w:lvlJc w:val="left"/>
      <w:rPr>
        <w:rFonts w:hint="eastAsia"/>
      </w:rPr>
    </w:lvl>
  </w:abstractNum>
  <w:abstractNum w:abstractNumId="5">
    <w:nsid w:val="197C4CC0"/>
    <w:multiLevelType w:val="multilevel"/>
    <w:tmpl w:val="197C4CC0"/>
    <w:lvl w:ilvl="0" w:tentative="0">
      <w:start w:val="1"/>
      <w:numFmt w:val="decimal"/>
      <w:lvlText w:val="%1、"/>
      <w:lvlJc w:val="left"/>
      <w:pPr>
        <w:ind w:left="98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A266CFF"/>
    <w:multiLevelType w:val="multilevel"/>
    <w:tmpl w:val="1A266CFF"/>
    <w:lvl w:ilvl="0" w:tentative="0">
      <w:start w:val="1"/>
      <w:numFmt w:val="decimal"/>
      <w:lvlText w:val="%1、"/>
      <w:lvlJc w:val="left"/>
      <w:pPr>
        <w:ind w:left="98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CF36DA"/>
    <w:multiLevelType w:val="multilevel"/>
    <w:tmpl w:val="21CF36D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6E0F55"/>
    <w:multiLevelType w:val="multilevel"/>
    <w:tmpl w:val="406E0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0733ED8"/>
    <w:multiLevelType w:val="multilevel"/>
    <w:tmpl w:val="40733ED8"/>
    <w:lvl w:ilvl="0" w:tentative="0">
      <w:start w:val="1"/>
      <w:numFmt w:val="chineseCountingThousand"/>
      <w:lvlText w:val="%1、"/>
      <w:lvlJc w:val="left"/>
      <w:pPr>
        <w:ind w:left="420" w:hanging="420"/>
      </w:pPr>
      <w:rPr>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8936DE9"/>
    <w:multiLevelType w:val="multilevel"/>
    <w:tmpl w:val="48936D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545CBD"/>
    <w:multiLevelType w:val="multilevel"/>
    <w:tmpl w:val="54545CB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A4252C2"/>
    <w:multiLevelType w:val="multilevel"/>
    <w:tmpl w:val="5A4252C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72C4C59"/>
    <w:multiLevelType w:val="multilevel"/>
    <w:tmpl w:val="672C4C59"/>
    <w:lvl w:ilvl="0" w:tentative="0">
      <w:start w:val="1"/>
      <w:numFmt w:val="decimal"/>
      <w:lvlText w:val="%1、"/>
      <w:lvlJc w:val="left"/>
      <w:pPr>
        <w:ind w:left="98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EEBFE47"/>
    <w:multiLevelType w:val="singleLevel"/>
    <w:tmpl w:val="6EEBFE47"/>
    <w:lvl w:ilvl="0" w:tentative="0">
      <w:start w:val="1"/>
      <w:numFmt w:val="chineseCounting"/>
      <w:suff w:val="nothing"/>
      <w:lvlText w:val="（%1）"/>
      <w:lvlJc w:val="left"/>
      <w:rPr>
        <w:rFonts w:hint="eastAsia"/>
      </w:rPr>
    </w:lvl>
  </w:abstractNum>
  <w:num w:numId="1">
    <w:abstractNumId w:val="9"/>
  </w:num>
  <w:num w:numId="2">
    <w:abstractNumId w:val="1"/>
  </w:num>
  <w:num w:numId="3">
    <w:abstractNumId w:val="13"/>
  </w:num>
  <w:num w:numId="4">
    <w:abstractNumId w:val="14"/>
  </w:num>
  <w:num w:numId="5">
    <w:abstractNumId w:val="5"/>
  </w:num>
  <w:num w:numId="6">
    <w:abstractNumId w:val="7"/>
  </w:num>
  <w:num w:numId="7">
    <w:abstractNumId w:val="2"/>
  </w:num>
  <w:num w:numId="8">
    <w:abstractNumId w:val="8"/>
  </w:num>
  <w:num w:numId="9">
    <w:abstractNumId w:val="11"/>
  </w:num>
  <w:num w:numId="10">
    <w:abstractNumId w:val="3"/>
  </w:num>
  <w:num w:numId="11">
    <w:abstractNumId w:val="4"/>
  </w:num>
  <w:num w:numId="12">
    <w:abstractNumId w:val="0"/>
  </w:num>
  <w:num w:numId="13">
    <w:abstractNumId w:val="1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MTJhZjQxZmU0NGZiM2YyMDFkZjcwNDhmYTJlZGQifQ=="/>
  </w:docVars>
  <w:rsids>
    <w:rsidRoot w:val="0052473F"/>
    <w:rsid w:val="0000591D"/>
    <w:rsid w:val="00005C8B"/>
    <w:rsid w:val="0004469D"/>
    <w:rsid w:val="00045E9C"/>
    <w:rsid w:val="00047D87"/>
    <w:rsid w:val="00064304"/>
    <w:rsid w:val="000645B7"/>
    <w:rsid w:val="00065C33"/>
    <w:rsid w:val="0007301D"/>
    <w:rsid w:val="00077304"/>
    <w:rsid w:val="00080291"/>
    <w:rsid w:val="000A1700"/>
    <w:rsid w:val="000A283E"/>
    <w:rsid w:val="000A61BC"/>
    <w:rsid w:val="000B6006"/>
    <w:rsid w:val="000D2B28"/>
    <w:rsid w:val="000D52AD"/>
    <w:rsid w:val="000E4685"/>
    <w:rsid w:val="000F251F"/>
    <w:rsid w:val="000F7255"/>
    <w:rsid w:val="00106169"/>
    <w:rsid w:val="00113F79"/>
    <w:rsid w:val="0013418F"/>
    <w:rsid w:val="00140FBA"/>
    <w:rsid w:val="001531C4"/>
    <w:rsid w:val="00157EAE"/>
    <w:rsid w:val="00160EF8"/>
    <w:rsid w:val="0016741C"/>
    <w:rsid w:val="00182FDE"/>
    <w:rsid w:val="00192B35"/>
    <w:rsid w:val="001A7326"/>
    <w:rsid w:val="001C1DA8"/>
    <w:rsid w:val="001C7730"/>
    <w:rsid w:val="001C7B1F"/>
    <w:rsid w:val="001E0D7D"/>
    <w:rsid w:val="00202177"/>
    <w:rsid w:val="0020615A"/>
    <w:rsid w:val="0020709E"/>
    <w:rsid w:val="00215F4A"/>
    <w:rsid w:val="002177FC"/>
    <w:rsid w:val="00221EA2"/>
    <w:rsid w:val="00222197"/>
    <w:rsid w:val="002301EC"/>
    <w:rsid w:val="00235E25"/>
    <w:rsid w:val="00252656"/>
    <w:rsid w:val="00255FFA"/>
    <w:rsid w:val="0026612B"/>
    <w:rsid w:val="00283F4F"/>
    <w:rsid w:val="002A3942"/>
    <w:rsid w:val="002C205D"/>
    <w:rsid w:val="002C386C"/>
    <w:rsid w:val="002C7667"/>
    <w:rsid w:val="002D1FB6"/>
    <w:rsid w:val="002D4D54"/>
    <w:rsid w:val="002E01C1"/>
    <w:rsid w:val="002E1E28"/>
    <w:rsid w:val="002E5F9B"/>
    <w:rsid w:val="002F35CE"/>
    <w:rsid w:val="00300230"/>
    <w:rsid w:val="00311092"/>
    <w:rsid w:val="0032408D"/>
    <w:rsid w:val="003320CA"/>
    <w:rsid w:val="0033371F"/>
    <w:rsid w:val="00364961"/>
    <w:rsid w:val="00391FE4"/>
    <w:rsid w:val="003A1AD2"/>
    <w:rsid w:val="003A7993"/>
    <w:rsid w:val="003B52D7"/>
    <w:rsid w:val="003C537D"/>
    <w:rsid w:val="003C7980"/>
    <w:rsid w:val="003D3D95"/>
    <w:rsid w:val="003D7E79"/>
    <w:rsid w:val="003F667C"/>
    <w:rsid w:val="00405839"/>
    <w:rsid w:val="004064F6"/>
    <w:rsid w:val="00407154"/>
    <w:rsid w:val="004232FA"/>
    <w:rsid w:val="00446FD9"/>
    <w:rsid w:val="00447F68"/>
    <w:rsid w:val="004519AA"/>
    <w:rsid w:val="00455740"/>
    <w:rsid w:val="00456DB1"/>
    <w:rsid w:val="004659B7"/>
    <w:rsid w:val="004719CC"/>
    <w:rsid w:val="0047359C"/>
    <w:rsid w:val="00481674"/>
    <w:rsid w:val="00486E11"/>
    <w:rsid w:val="004A2611"/>
    <w:rsid w:val="004A601E"/>
    <w:rsid w:val="004E10D6"/>
    <w:rsid w:val="004E404C"/>
    <w:rsid w:val="004F7579"/>
    <w:rsid w:val="00504191"/>
    <w:rsid w:val="00506CE2"/>
    <w:rsid w:val="0052473F"/>
    <w:rsid w:val="00534B0C"/>
    <w:rsid w:val="00534B23"/>
    <w:rsid w:val="0055390C"/>
    <w:rsid w:val="00571C36"/>
    <w:rsid w:val="005A0C0C"/>
    <w:rsid w:val="005A143C"/>
    <w:rsid w:val="005A2737"/>
    <w:rsid w:val="005A333C"/>
    <w:rsid w:val="005A3543"/>
    <w:rsid w:val="005A720C"/>
    <w:rsid w:val="005C2385"/>
    <w:rsid w:val="005C3DF7"/>
    <w:rsid w:val="005D0C01"/>
    <w:rsid w:val="005D3799"/>
    <w:rsid w:val="005E23CA"/>
    <w:rsid w:val="005E5786"/>
    <w:rsid w:val="006001BA"/>
    <w:rsid w:val="00613D3A"/>
    <w:rsid w:val="00626518"/>
    <w:rsid w:val="006326BD"/>
    <w:rsid w:val="00674A60"/>
    <w:rsid w:val="00680F41"/>
    <w:rsid w:val="00697507"/>
    <w:rsid w:val="00697C62"/>
    <w:rsid w:val="006B5A5A"/>
    <w:rsid w:val="006C64B8"/>
    <w:rsid w:val="006D4F95"/>
    <w:rsid w:val="006E34C1"/>
    <w:rsid w:val="006F022D"/>
    <w:rsid w:val="0070121A"/>
    <w:rsid w:val="007058B6"/>
    <w:rsid w:val="007165A3"/>
    <w:rsid w:val="00721D83"/>
    <w:rsid w:val="007349FC"/>
    <w:rsid w:val="00740F99"/>
    <w:rsid w:val="00756692"/>
    <w:rsid w:val="00760C1E"/>
    <w:rsid w:val="00766AE5"/>
    <w:rsid w:val="00766CE2"/>
    <w:rsid w:val="00767A45"/>
    <w:rsid w:val="00775610"/>
    <w:rsid w:val="00781467"/>
    <w:rsid w:val="00792DBD"/>
    <w:rsid w:val="007A5709"/>
    <w:rsid w:val="007B6BDD"/>
    <w:rsid w:val="007D38A7"/>
    <w:rsid w:val="007E1697"/>
    <w:rsid w:val="00800FC7"/>
    <w:rsid w:val="00810CF4"/>
    <w:rsid w:val="00836D2C"/>
    <w:rsid w:val="008752FC"/>
    <w:rsid w:val="00877C3F"/>
    <w:rsid w:val="008841AF"/>
    <w:rsid w:val="008861C2"/>
    <w:rsid w:val="00886991"/>
    <w:rsid w:val="00891596"/>
    <w:rsid w:val="008927FC"/>
    <w:rsid w:val="008933DC"/>
    <w:rsid w:val="008B7213"/>
    <w:rsid w:val="008D3DAA"/>
    <w:rsid w:val="008D71DB"/>
    <w:rsid w:val="009327F6"/>
    <w:rsid w:val="009369B9"/>
    <w:rsid w:val="00942D83"/>
    <w:rsid w:val="00965387"/>
    <w:rsid w:val="009674A8"/>
    <w:rsid w:val="00972E86"/>
    <w:rsid w:val="00972F39"/>
    <w:rsid w:val="009761A3"/>
    <w:rsid w:val="00984ABC"/>
    <w:rsid w:val="009A0658"/>
    <w:rsid w:val="009C1F30"/>
    <w:rsid w:val="009E26D4"/>
    <w:rsid w:val="009F0408"/>
    <w:rsid w:val="00A01DE2"/>
    <w:rsid w:val="00A3160B"/>
    <w:rsid w:val="00A36717"/>
    <w:rsid w:val="00A40323"/>
    <w:rsid w:val="00A61AAC"/>
    <w:rsid w:val="00A70F1B"/>
    <w:rsid w:val="00A90B36"/>
    <w:rsid w:val="00A9367E"/>
    <w:rsid w:val="00AA0798"/>
    <w:rsid w:val="00AA243B"/>
    <w:rsid w:val="00AD10E6"/>
    <w:rsid w:val="00AD5E26"/>
    <w:rsid w:val="00AD6020"/>
    <w:rsid w:val="00AF745A"/>
    <w:rsid w:val="00B30B0B"/>
    <w:rsid w:val="00B31C78"/>
    <w:rsid w:val="00B40AB5"/>
    <w:rsid w:val="00B51A73"/>
    <w:rsid w:val="00B609BA"/>
    <w:rsid w:val="00B64168"/>
    <w:rsid w:val="00B84AC9"/>
    <w:rsid w:val="00B869FC"/>
    <w:rsid w:val="00B87704"/>
    <w:rsid w:val="00BA2F96"/>
    <w:rsid w:val="00BA4932"/>
    <w:rsid w:val="00BB0F40"/>
    <w:rsid w:val="00BB65BE"/>
    <w:rsid w:val="00BE49F2"/>
    <w:rsid w:val="00BE7D2B"/>
    <w:rsid w:val="00BF1B0A"/>
    <w:rsid w:val="00BF34BF"/>
    <w:rsid w:val="00BF472F"/>
    <w:rsid w:val="00C327BB"/>
    <w:rsid w:val="00C342A4"/>
    <w:rsid w:val="00C37B33"/>
    <w:rsid w:val="00C5265C"/>
    <w:rsid w:val="00C55835"/>
    <w:rsid w:val="00C64E31"/>
    <w:rsid w:val="00C82F04"/>
    <w:rsid w:val="00C939CC"/>
    <w:rsid w:val="00CB634D"/>
    <w:rsid w:val="00CD4BEE"/>
    <w:rsid w:val="00CD7D5B"/>
    <w:rsid w:val="00CF216F"/>
    <w:rsid w:val="00CF24B7"/>
    <w:rsid w:val="00CF7CCC"/>
    <w:rsid w:val="00D00DEF"/>
    <w:rsid w:val="00D057D7"/>
    <w:rsid w:val="00D06445"/>
    <w:rsid w:val="00D2259B"/>
    <w:rsid w:val="00D245E5"/>
    <w:rsid w:val="00D24FF0"/>
    <w:rsid w:val="00D30E7D"/>
    <w:rsid w:val="00D40546"/>
    <w:rsid w:val="00D450F5"/>
    <w:rsid w:val="00D5084E"/>
    <w:rsid w:val="00D552BA"/>
    <w:rsid w:val="00D64E38"/>
    <w:rsid w:val="00DA5AE8"/>
    <w:rsid w:val="00DC0141"/>
    <w:rsid w:val="00DD79E9"/>
    <w:rsid w:val="00DE0545"/>
    <w:rsid w:val="00DE4E37"/>
    <w:rsid w:val="00DF1F22"/>
    <w:rsid w:val="00E25DE4"/>
    <w:rsid w:val="00E46D25"/>
    <w:rsid w:val="00E65452"/>
    <w:rsid w:val="00E675BD"/>
    <w:rsid w:val="00E775DB"/>
    <w:rsid w:val="00EB1A91"/>
    <w:rsid w:val="00EB240F"/>
    <w:rsid w:val="00EB3863"/>
    <w:rsid w:val="00EB4203"/>
    <w:rsid w:val="00EC1F67"/>
    <w:rsid w:val="00EE6044"/>
    <w:rsid w:val="00EF5D10"/>
    <w:rsid w:val="00F036A9"/>
    <w:rsid w:val="00F11586"/>
    <w:rsid w:val="00F15B98"/>
    <w:rsid w:val="00F36F4A"/>
    <w:rsid w:val="00F54A45"/>
    <w:rsid w:val="00F556B6"/>
    <w:rsid w:val="00F75432"/>
    <w:rsid w:val="00F76D07"/>
    <w:rsid w:val="00FA33F5"/>
    <w:rsid w:val="00FB510D"/>
    <w:rsid w:val="00FC62EB"/>
    <w:rsid w:val="00FC64A2"/>
    <w:rsid w:val="01541EA9"/>
    <w:rsid w:val="015A40C0"/>
    <w:rsid w:val="019329D2"/>
    <w:rsid w:val="01AA7D1B"/>
    <w:rsid w:val="01B6221C"/>
    <w:rsid w:val="01C43C76"/>
    <w:rsid w:val="01CE3A0A"/>
    <w:rsid w:val="02DB7FCF"/>
    <w:rsid w:val="02F474A0"/>
    <w:rsid w:val="03125B78"/>
    <w:rsid w:val="03BE360A"/>
    <w:rsid w:val="03D91E8E"/>
    <w:rsid w:val="03F901D3"/>
    <w:rsid w:val="0450534A"/>
    <w:rsid w:val="04714B20"/>
    <w:rsid w:val="04722236"/>
    <w:rsid w:val="04846602"/>
    <w:rsid w:val="04936845"/>
    <w:rsid w:val="04B62533"/>
    <w:rsid w:val="04B9513E"/>
    <w:rsid w:val="04E70524"/>
    <w:rsid w:val="05243B86"/>
    <w:rsid w:val="05412745"/>
    <w:rsid w:val="05735A24"/>
    <w:rsid w:val="05760640"/>
    <w:rsid w:val="05D9472B"/>
    <w:rsid w:val="05DC62C0"/>
    <w:rsid w:val="05EF3F4F"/>
    <w:rsid w:val="061614DB"/>
    <w:rsid w:val="063B7194"/>
    <w:rsid w:val="06826AEB"/>
    <w:rsid w:val="06BC02D5"/>
    <w:rsid w:val="06C07699"/>
    <w:rsid w:val="06E525C9"/>
    <w:rsid w:val="07057767"/>
    <w:rsid w:val="070954E4"/>
    <w:rsid w:val="073A569E"/>
    <w:rsid w:val="07746E01"/>
    <w:rsid w:val="077F716E"/>
    <w:rsid w:val="0882554E"/>
    <w:rsid w:val="08A2174C"/>
    <w:rsid w:val="08E41D65"/>
    <w:rsid w:val="09067F2D"/>
    <w:rsid w:val="0932487E"/>
    <w:rsid w:val="095C7B4D"/>
    <w:rsid w:val="096E7880"/>
    <w:rsid w:val="09B96D4E"/>
    <w:rsid w:val="0A206DCD"/>
    <w:rsid w:val="0A2368BD"/>
    <w:rsid w:val="0A821835"/>
    <w:rsid w:val="0A8455AD"/>
    <w:rsid w:val="0A8729A8"/>
    <w:rsid w:val="0AE918B4"/>
    <w:rsid w:val="0B5B264A"/>
    <w:rsid w:val="0B705B32"/>
    <w:rsid w:val="0BBA0B5B"/>
    <w:rsid w:val="0BF73B5D"/>
    <w:rsid w:val="0BFE313E"/>
    <w:rsid w:val="0C8353F1"/>
    <w:rsid w:val="0C937D2A"/>
    <w:rsid w:val="0C9B098C"/>
    <w:rsid w:val="0CA041F5"/>
    <w:rsid w:val="0CA050B2"/>
    <w:rsid w:val="0CE81173"/>
    <w:rsid w:val="0D676F26"/>
    <w:rsid w:val="0D933D59"/>
    <w:rsid w:val="0DAE2941"/>
    <w:rsid w:val="0EAF4BC3"/>
    <w:rsid w:val="0EB775D4"/>
    <w:rsid w:val="0EC817E1"/>
    <w:rsid w:val="0F1756A9"/>
    <w:rsid w:val="0FED59A3"/>
    <w:rsid w:val="102B2027"/>
    <w:rsid w:val="107734BE"/>
    <w:rsid w:val="10B4201D"/>
    <w:rsid w:val="10E072B6"/>
    <w:rsid w:val="10F20D97"/>
    <w:rsid w:val="112076B2"/>
    <w:rsid w:val="112E6273"/>
    <w:rsid w:val="114535BD"/>
    <w:rsid w:val="11567578"/>
    <w:rsid w:val="11D861DF"/>
    <w:rsid w:val="1230601B"/>
    <w:rsid w:val="123F1DBA"/>
    <w:rsid w:val="124E024F"/>
    <w:rsid w:val="12A32349"/>
    <w:rsid w:val="12B97DBE"/>
    <w:rsid w:val="13021765"/>
    <w:rsid w:val="130C6140"/>
    <w:rsid w:val="13165211"/>
    <w:rsid w:val="13453400"/>
    <w:rsid w:val="134A310C"/>
    <w:rsid w:val="136F153F"/>
    <w:rsid w:val="13B4669E"/>
    <w:rsid w:val="13E21FE9"/>
    <w:rsid w:val="13FD377C"/>
    <w:rsid w:val="141379A2"/>
    <w:rsid w:val="14294AD0"/>
    <w:rsid w:val="14522278"/>
    <w:rsid w:val="146A5814"/>
    <w:rsid w:val="153E45AB"/>
    <w:rsid w:val="158C17BA"/>
    <w:rsid w:val="15997A33"/>
    <w:rsid w:val="15AF7257"/>
    <w:rsid w:val="164D719B"/>
    <w:rsid w:val="16612C47"/>
    <w:rsid w:val="16846935"/>
    <w:rsid w:val="16B34B25"/>
    <w:rsid w:val="17143815"/>
    <w:rsid w:val="17214184"/>
    <w:rsid w:val="173D7210"/>
    <w:rsid w:val="177E5132"/>
    <w:rsid w:val="180513B0"/>
    <w:rsid w:val="182C4B8E"/>
    <w:rsid w:val="183B3024"/>
    <w:rsid w:val="18534811"/>
    <w:rsid w:val="18BD1C8B"/>
    <w:rsid w:val="18D86AC4"/>
    <w:rsid w:val="18F338FE"/>
    <w:rsid w:val="18FC31A5"/>
    <w:rsid w:val="19434886"/>
    <w:rsid w:val="19677EEA"/>
    <w:rsid w:val="196D1903"/>
    <w:rsid w:val="197B401F"/>
    <w:rsid w:val="19B04073"/>
    <w:rsid w:val="19F636A6"/>
    <w:rsid w:val="1A197394"/>
    <w:rsid w:val="1A3F504D"/>
    <w:rsid w:val="1A4A57A0"/>
    <w:rsid w:val="1A4E703E"/>
    <w:rsid w:val="1A935399"/>
    <w:rsid w:val="1A986467"/>
    <w:rsid w:val="1AA603CB"/>
    <w:rsid w:val="1ACD08AB"/>
    <w:rsid w:val="1AE6371B"/>
    <w:rsid w:val="1AF220BF"/>
    <w:rsid w:val="1B261D69"/>
    <w:rsid w:val="1B3E5305"/>
    <w:rsid w:val="1B4B17D0"/>
    <w:rsid w:val="1B5543FC"/>
    <w:rsid w:val="1B966EEF"/>
    <w:rsid w:val="1BBB0703"/>
    <w:rsid w:val="1C6A3ED7"/>
    <w:rsid w:val="1CB810E7"/>
    <w:rsid w:val="1DA358F3"/>
    <w:rsid w:val="1DB47B00"/>
    <w:rsid w:val="1E1B7B7F"/>
    <w:rsid w:val="1E2702D2"/>
    <w:rsid w:val="1E5D3CF4"/>
    <w:rsid w:val="1E6E209E"/>
    <w:rsid w:val="1E7E1EBC"/>
    <w:rsid w:val="1E7E3C6A"/>
    <w:rsid w:val="1E97124E"/>
    <w:rsid w:val="1EE14925"/>
    <w:rsid w:val="1EFA7794"/>
    <w:rsid w:val="1F0A0750"/>
    <w:rsid w:val="1F7532BF"/>
    <w:rsid w:val="1FB57B5F"/>
    <w:rsid w:val="1FF70178"/>
    <w:rsid w:val="204038CD"/>
    <w:rsid w:val="2040567B"/>
    <w:rsid w:val="20962624"/>
    <w:rsid w:val="20D64231"/>
    <w:rsid w:val="20E06E5E"/>
    <w:rsid w:val="210112AE"/>
    <w:rsid w:val="21676C37"/>
    <w:rsid w:val="21A76788"/>
    <w:rsid w:val="21AD0AEE"/>
    <w:rsid w:val="21B207FA"/>
    <w:rsid w:val="21C61BB0"/>
    <w:rsid w:val="21EF7359"/>
    <w:rsid w:val="21FC1A76"/>
    <w:rsid w:val="22857CBD"/>
    <w:rsid w:val="2309269C"/>
    <w:rsid w:val="237044C9"/>
    <w:rsid w:val="23AA76D2"/>
    <w:rsid w:val="23AE0B4E"/>
    <w:rsid w:val="23BE3486"/>
    <w:rsid w:val="247A57B8"/>
    <w:rsid w:val="252C2672"/>
    <w:rsid w:val="25550135"/>
    <w:rsid w:val="25891872"/>
    <w:rsid w:val="25973F8F"/>
    <w:rsid w:val="25F34750"/>
    <w:rsid w:val="2604539D"/>
    <w:rsid w:val="260D24A3"/>
    <w:rsid w:val="26321F0A"/>
    <w:rsid w:val="264A7253"/>
    <w:rsid w:val="26B71E3C"/>
    <w:rsid w:val="27A40BE5"/>
    <w:rsid w:val="27F21951"/>
    <w:rsid w:val="27FD02F5"/>
    <w:rsid w:val="2808007A"/>
    <w:rsid w:val="28235FAE"/>
    <w:rsid w:val="283A6E54"/>
    <w:rsid w:val="287E1436"/>
    <w:rsid w:val="28C876FF"/>
    <w:rsid w:val="299913C4"/>
    <w:rsid w:val="29E03A2B"/>
    <w:rsid w:val="2A500BB0"/>
    <w:rsid w:val="2A6A51D1"/>
    <w:rsid w:val="2ACF41CB"/>
    <w:rsid w:val="2AD76BDC"/>
    <w:rsid w:val="2B3E7A7B"/>
    <w:rsid w:val="2B4E5917"/>
    <w:rsid w:val="2B5B15BB"/>
    <w:rsid w:val="2B830B12"/>
    <w:rsid w:val="2B942D1F"/>
    <w:rsid w:val="2BAA2542"/>
    <w:rsid w:val="2BBF4A75"/>
    <w:rsid w:val="2C0E0D23"/>
    <w:rsid w:val="2C9E3E55"/>
    <w:rsid w:val="2C9F6FA5"/>
    <w:rsid w:val="2CE453D7"/>
    <w:rsid w:val="2D1759B5"/>
    <w:rsid w:val="2D216834"/>
    <w:rsid w:val="2D2500D2"/>
    <w:rsid w:val="2D3E2F42"/>
    <w:rsid w:val="2D483DC1"/>
    <w:rsid w:val="2D662499"/>
    <w:rsid w:val="2DA74F8B"/>
    <w:rsid w:val="2DDE64D3"/>
    <w:rsid w:val="2E9C2616"/>
    <w:rsid w:val="2EBF6305"/>
    <w:rsid w:val="2F171C9D"/>
    <w:rsid w:val="2F6A6270"/>
    <w:rsid w:val="2FBE480E"/>
    <w:rsid w:val="305807BF"/>
    <w:rsid w:val="305F1B4D"/>
    <w:rsid w:val="3077201F"/>
    <w:rsid w:val="307C26FF"/>
    <w:rsid w:val="30A47560"/>
    <w:rsid w:val="30ED7159"/>
    <w:rsid w:val="30FF50DE"/>
    <w:rsid w:val="31295CB7"/>
    <w:rsid w:val="31322DBE"/>
    <w:rsid w:val="31717D8A"/>
    <w:rsid w:val="31CF2D03"/>
    <w:rsid w:val="31D67BED"/>
    <w:rsid w:val="321B1AA4"/>
    <w:rsid w:val="3296737C"/>
    <w:rsid w:val="32CC2D9E"/>
    <w:rsid w:val="32D23572"/>
    <w:rsid w:val="32FC18D5"/>
    <w:rsid w:val="332C1A8F"/>
    <w:rsid w:val="33380434"/>
    <w:rsid w:val="33525999"/>
    <w:rsid w:val="336E3E55"/>
    <w:rsid w:val="33FD3B57"/>
    <w:rsid w:val="34655258"/>
    <w:rsid w:val="346A286F"/>
    <w:rsid w:val="34D80120"/>
    <w:rsid w:val="351F7AFD"/>
    <w:rsid w:val="35EE3784"/>
    <w:rsid w:val="360A60B7"/>
    <w:rsid w:val="361C403D"/>
    <w:rsid w:val="36BB5604"/>
    <w:rsid w:val="36FF7BE6"/>
    <w:rsid w:val="370A20E7"/>
    <w:rsid w:val="372C02AF"/>
    <w:rsid w:val="378123A9"/>
    <w:rsid w:val="37A20571"/>
    <w:rsid w:val="37C329C2"/>
    <w:rsid w:val="37CB7AC8"/>
    <w:rsid w:val="37D56B99"/>
    <w:rsid w:val="37ED3EE3"/>
    <w:rsid w:val="38211DDE"/>
    <w:rsid w:val="38606463"/>
    <w:rsid w:val="387B14EE"/>
    <w:rsid w:val="387E0FDF"/>
    <w:rsid w:val="38DC5D5B"/>
    <w:rsid w:val="391536F1"/>
    <w:rsid w:val="393022D9"/>
    <w:rsid w:val="39E76710"/>
    <w:rsid w:val="3A8C79E3"/>
    <w:rsid w:val="3A971EE4"/>
    <w:rsid w:val="3AAC3BE1"/>
    <w:rsid w:val="3AEF3ACE"/>
    <w:rsid w:val="3B716BD9"/>
    <w:rsid w:val="3BBC60A6"/>
    <w:rsid w:val="3BCA5C37"/>
    <w:rsid w:val="3BF515B8"/>
    <w:rsid w:val="3C134AD0"/>
    <w:rsid w:val="3C162188"/>
    <w:rsid w:val="3C1934F8"/>
    <w:rsid w:val="3C5E715D"/>
    <w:rsid w:val="3C8A61A4"/>
    <w:rsid w:val="3C8F5568"/>
    <w:rsid w:val="3C97441D"/>
    <w:rsid w:val="3CA8662A"/>
    <w:rsid w:val="3D0C0967"/>
    <w:rsid w:val="3D4D6240"/>
    <w:rsid w:val="3D633A68"/>
    <w:rsid w:val="3DBD7EB3"/>
    <w:rsid w:val="3DCC459A"/>
    <w:rsid w:val="3E8F1850"/>
    <w:rsid w:val="3EC15781"/>
    <w:rsid w:val="3FA963B7"/>
    <w:rsid w:val="3FDA2F9E"/>
    <w:rsid w:val="3FEA0D08"/>
    <w:rsid w:val="404228F2"/>
    <w:rsid w:val="405A40DF"/>
    <w:rsid w:val="40BB6FB1"/>
    <w:rsid w:val="40BC08F6"/>
    <w:rsid w:val="40E251F4"/>
    <w:rsid w:val="40E57E4D"/>
    <w:rsid w:val="41200E85"/>
    <w:rsid w:val="41391F47"/>
    <w:rsid w:val="41546D80"/>
    <w:rsid w:val="41652D3C"/>
    <w:rsid w:val="41894C7C"/>
    <w:rsid w:val="41A43864"/>
    <w:rsid w:val="41C55588"/>
    <w:rsid w:val="422C1AAB"/>
    <w:rsid w:val="42607D18"/>
    <w:rsid w:val="42C41CE4"/>
    <w:rsid w:val="42C65A5C"/>
    <w:rsid w:val="42E3216A"/>
    <w:rsid w:val="42ED5B59"/>
    <w:rsid w:val="4340580E"/>
    <w:rsid w:val="43452E25"/>
    <w:rsid w:val="434846C3"/>
    <w:rsid w:val="437752A8"/>
    <w:rsid w:val="43C33D49"/>
    <w:rsid w:val="43F6411F"/>
    <w:rsid w:val="441B5933"/>
    <w:rsid w:val="444E3F5B"/>
    <w:rsid w:val="4456696C"/>
    <w:rsid w:val="447B63D2"/>
    <w:rsid w:val="44A616A1"/>
    <w:rsid w:val="44B87626"/>
    <w:rsid w:val="44C71617"/>
    <w:rsid w:val="44D2693A"/>
    <w:rsid w:val="45E32481"/>
    <w:rsid w:val="45E701C3"/>
    <w:rsid w:val="45F34DBA"/>
    <w:rsid w:val="46252A99"/>
    <w:rsid w:val="46326F64"/>
    <w:rsid w:val="465313B5"/>
    <w:rsid w:val="465D2233"/>
    <w:rsid w:val="46B61944"/>
    <w:rsid w:val="46EB3CE3"/>
    <w:rsid w:val="470B1C8F"/>
    <w:rsid w:val="475C698F"/>
    <w:rsid w:val="477517FF"/>
    <w:rsid w:val="47C87B80"/>
    <w:rsid w:val="47D91D8D"/>
    <w:rsid w:val="47F72214"/>
    <w:rsid w:val="484E4529"/>
    <w:rsid w:val="487970CD"/>
    <w:rsid w:val="48831CF9"/>
    <w:rsid w:val="48961A2D"/>
    <w:rsid w:val="48B40105"/>
    <w:rsid w:val="48E7672C"/>
    <w:rsid w:val="49A47ECE"/>
    <w:rsid w:val="49C03205"/>
    <w:rsid w:val="49D62A28"/>
    <w:rsid w:val="49E62540"/>
    <w:rsid w:val="49E6713C"/>
    <w:rsid w:val="4A1E617D"/>
    <w:rsid w:val="4A277601"/>
    <w:rsid w:val="4AC565F9"/>
    <w:rsid w:val="4AC80D07"/>
    <w:rsid w:val="4ADF76BB"/>
    <w:rsid w:val="4B1F21AD"/>
    <w:rsid w:val="4B427C4A"/>
    <w:rsid w:val="4B490FD8"/>
    <w:rsid w:val="4B5856BF"/>
    <w:rsid w:val="4B8D35BB"/>
    <w:rsid w:val="4B977F95"/>
    <w:rsid w:val="4C017B05"/>
    <w:rsid w:val="4C1B2975"/>
    <w:rsid w:val="4C1E06B7"/>
    <w:rsid w:val="4C325F10"/>
    <w:rsid w:val="4C5E2ABA"/>
    <w:rsid w:val="4CA23096"/>
    <w:rsid w:val="4CB46925"/>
    <w:rsid w:val="4CFA4C80"/>
    <w:rsid w:val="4D665E71"/>
    <w:rsid w:val="4D8C301A"/>
    <w:rsid w:val="4E1E499E"/>
    <w:rsid w:val="4E2A50F1"/>
    <w:rsid w:val="4E2F0959"/>
    <w:rsid w:val="4E323FA5"/>
    <w:rsid w:val="4E58172D"/>
    <w:rsid w:val="4E872543"/>
    <w:rsid w:val="4E9C0A59"/>
    <w:rsid w:val="4EF1525F"/>
    <w:rsid w:val="4F0B3174"/>
    <w:rsid w:val="4F5368C9"/>
    <w:rsid w:val="4FAC7D88"/>
    <w:rsid w:val="4FC60E49"/>
    <w:rsid w:val="4FC91CB8"/>
    <w:rsid w:val="4FD7FBF0"/>
    <w:rsid w:val="4FFC2ABD"/>
    <w:rsid w:val="50412BC6"/>
    <w:rsid w:val="50854860"/>
    <w:rsid w:val="50A4015D"/>
    <w:rsid w:val="50B27620"/>
    <w:rsid w:val="50D91050"/>
    <w:rsid w:val="514F2512"/>
    <w:rsid w:val="51840FBC"/>
    <w:rsid w:val="51B82A14"/>
    <w:rsid w:val="51C21AE4"/>
    <w:rsid w:val="51DC2BA6"/>
    <w:rsid w:val="51ED6B61"/>
    <w:rsid w:val="5248023B"/>
    <w:rsid w:val="52B61649"/>
    <w:rsid w:val="530F48B5"/>
    <w:rsid w:val="533B1B4E"/>
    <w:rsid w:val="5354676C"/>
    <w:rsid w:val="53591FD4"/>
    <w:rsid w:val="53937294"/>
    <w:rsid w:val="54A35BFD"/>
    <w:rsid w:val="54D062C6"/>
    <w:rsid w:val="54D16B80"/>
    <w:rsid w:val="55841D62"/>
    <w:rsid w:val="55B17EA6"/>
    <w:rsid w:val="55F12998"/>
    <w:rsid w:val="55F83D27"/>
    <w:rsid w:val="56372AA1"/>
    <w:rsid w:val="56821842"/>
    <w:rsid w:val="56E12A0D"/>
    <w:rsid w:val="574865E8"/>
    <w:rsid w:val="575C2093"/>
    <w:rsid w:val="580249E9"/>
    <w:rsid w:val="58773629"/>
    <w:rsid w:val="58922210"/>
    <w:rsid w:val="58D740C7"/>
    <w:rsid w:val="592038AA"/>
    <w:rsid w:val="59BD32BD"/>
    <w:rsid w:val="5A455061"/>
    <w:rsid w:val="5A694668"/>
    <w:rsid w:val="5AF01107"/>
    <w:rsid w:val="5B3312E5"/>
    <w:rsid w:val="5B37709F"/>
    <w:rsid w:val="5B435268"/>
    <w:rsid w:val="5B5419FF"/>
    <w:rsid w:val="5BA509F2"/>
    <w:rsid w:val="5BA83AF9"/>
    <w:rsid w:val="5BAB5397"/>
    <w:rsid w:val="5BD112A2"/>
    <w:rsid w:val="5BEF34D6"/>
    <w:rsid w:val="5BFD6D62"/>
    <w:rsid w:val="5BFE7BBD"/>
    <w:rsid w:val="5C294C3A"/>
    <w:rsid w:val="5C8F26F0"/>
    <w:rsid w:val="5D184CAE"/>
    <w:rsid w:val="5D375134"/>
    <w:rsid w:val="5D7A14C5"/>
    <w:rsid w:val="5DB04EE7"/>
    <w:rsid w:val="5DDB01B6"/>
    <w:rsid w:val="5DFF65FB"/>
    <w:rsid w:val="5E2022BD"/>
    <w:rsid w:val="5E2356B9"/>
    <w:rsid w:val="5F13572D"/>
    <w:rsid w:val="5F797C86"/>
    <w:rsid w:val="5FA10F8B"/>
    <w:rsid w:val="5FE33352"/>
    <w:rsid w:val="5FFF51DC"/>
    <w:rsid w:val="603A74D9"/>
    <w:rsid w:val="60CC028A"/>
    <w:rsid w:val="60DB227B"/>
    <w:rsid w:val="6162474A"/>
    <w:rsid w:val="61627BF1"/>
    <w:rsid w:val="61903065"/>
    <w:rsid w:val="619A0388"/>
    <w:rsid w:val="61FF01EB"/>
    <w:rsid w:val="62145A44"/>
    <w:rsid w:val="623205C0"/>
    <w:rsid w:val="62327559"/>
    <w:rsid w:val="62830E1C"/>
    <w:rsid w:val="62DE6052"/>
    <w:rsid w:val="634A36E8"/>
    <w:rsid w:val="638B61DA"/>
    <w:rsid w:val="63A31776"/>
    <w:rsid w:val="63AE604C"/>
    <w:rsid w:val="63C33BC6"/>
    <w:rsid w:val="641C32D6"/>
    <w:rsid w:val="643E149E"/>
    <w:rsid w:val="64634A61"/>
    <w:rsid w:val="646B1B68"/>
    <w:rsid w:val="64E5191A"/>
    <w:rsid w:val="64FE478A"/>
    <w:rsid w:val="651D5558"/>
    <w:rsid w:val="6546685C"/>
    <w:rsid w:val="6557674D"/>
    <w:rsid w:val="656C403D"/>
    <w:rsid w:val="657D1B52"/>
    <w:rsid w:val="65A90B99"/>
    <w:rsid w:val="65F84571"/>
    <w:rsid w:val="65FC6F1B"/>
    <w:rsid w:val="660B1854"/>
    <w:rsid w:val="66897B53"/>
    <w:rsid w:val="66A17AC3"/>
    <w:rsid w:val="670B521C"/>
    <w:rsid w:val="670C13E0"/>
    <w:rsid w:val="671D539B"/>
    <w:rsid w:val="672901E4"/>
    <w:rsid w:val="67705E13"/>
    <w:rsid w:val="67717495"/>
    <w:rsid w:val="67B57CC9"/>
    <w:rsid w:val="67D22629"/>
    <w:rsid w:val="67F56318"/>
    <w:rsid w:val="682513F1"/>
    <w:rsid w:val="684F61D7"/>
    <w:rsid w:val="68AF64C7"/>
    <w:rsid w:val="68E819D9"/>
    <w:rsid w:val="68F137AB"/>
    <w:rsid w:val="690F3409"/>
    <w:rsid w:val="691E364C"/>
    <w:rsid w:val="692073C4"/>
    <w:rsid w:val="694F7CAA"/>
    <w:rsid w:val="69F85C4B"/>
    <w:rsid w:val="6A4B221F"/>
    <w:rsid w:val="6A5F5CCB"/>
    <w:rsid w:val="6ADE7537"/>
    <w:rsid w:val="6AF02DC7"/>
    <w:rsid w:val="6B0F5943"/>
    <w:rsid w:val="6B1E7934"/>
    <w:rsid w:val="6BB838E4"/>
    <w:rsid w:val="6BC229B5"/>
    <w:rsid w:val="6BCA2A46"/>
    <w:rsid w:val="6BE773D9"/>
    <w:rsid w:val="6C225202"/>
    <w:rsid w:val="6C30791F"/>
    <w:rsid w:val="6C686C2A"/>
    <w:rsid w:val="6C6D2921"/>
    <w:rsid w:val="6C93452C"/>
    <w:rsid w:val="6CB30FA0"/>
    <w:rsid w:val="6CB542C8"/>
    <w:rsid w:val="6D602A51"/>
    <w:rsid w:val="6D7970A3"/>
    <w:rsid w:val="6DA63788"/>
    <w:rsid w:val="6E423939"/>
    <w:rsid w:val="6E9543B1"/>
    <w:rsid w:val="6F101C89"/>
    <w:rsid w:val="6F8F7052"/>
    <w:rsid w:val="6F912DCA"/>
    <w:rsid w:val="6FC36CFC"/>
    <w:rsid w:val="6FE0340A"/>
    <w:rsid w:val="700370F8"/>
    <w:rsid w:val="705D4A5A"/>
    <w:rsid w:val="71092E34"/>
    <w:rsid w:val="711C2B67"/>
    <w:rsid w:val="711E68DF"/>
    <w:rsid w:val="71997D14"/>
    <w:rsid w:val="71BD6999"/>
    <w:rsid w:val="71C70D25"/>
    <w:rsid w:val="72062ED0"/>
    <w:rsid w:val="722C2936"/>
    <w:rsid w:val="723F6B0D"/>
    <w:rsid w:val="72A9667D"/>
    <w:rsid w:val="72FD2105"/>
    <w:rsid w:val="72FF44EF"/>
    <w:rsid w:val="73774085"/>
    <w:rsid w:val="73CF3EC1"/>
    <w:rsid w:val="73F97190"/>
    <w:rsid w:val="74597C2E"/>
    <w:rsid w:val="748F53FE"/>
    <w:rsid w:val="74B82BA7"/>
    <w:rsid w:val="74D13C69"/>
    <w:rsid w:val="74D16536"/>
    <w:rsid w:val="759A405B"/>
    <w:rsid w:val="75E8126A"/>
    <w:rsid w:val="76676633"/>
    <w:rsid w:val="76A5715B"/>
    <w:rsid w:val="76AE24B4"/>
    <w:rsid w:val="76DD06A3"/>
    <w:rsid w:val="76FD2AF3"/>
    <w:rsid w:val="772C5186"/>
    <w:rsid w:val="775B5A6C"/>
    <w:rsid w:val="77950F7E"/>
    <w:rsid w:val="779C67B0"/>
    <w:rsid w:val="77C47AB5"/>
    <w:rsid w:val="78000AED"/>
    <w:rsid w:val="783C764B"/>
    <w:rsid w:val="784309DA"/>
    <w:rsid w:val="78615304"/>
    <w:rsid w:val="786D3CA8"/>
    <w:rsid w:val="786F17CF"/>
    <w:rsid w:val="78C2280A"/>
    <w:rsid w:val="78FB7506"/>
    <w:rsid w:val="794E7636"/>
    <w:rsid w:val="79A92AE0"/>
    <w:rsid w:val="79D02741"/>
    <w:rsid w:val="79E47F9A"/>
    <w:rsid w:val="7A5A025C"/>
    <w:rsid w:val="7A9B4AFD"/>
    <w:rsid w:val="7A9E45ED"/>
    <w:rsid w:val="7B4231CA"/>
    <w:rsid w:val="7B51165F"/>
    <w:rsid w:val="7B580C40"/>
    <w:rsid w:val="7B6A2721"/>
    <w:rsid w:val="7B86755B"/>
    <w:rsid w:val="7B9D6653"/>
    <w:rsid w:val="7BEE5100"/>
    <w:rsid w:val="7C0E12FE"/>
    <w:rsid w:val="7C120DEF"/>
    <w:rsid w:val="7C127041"/>
    <w:rsid w:val="7C4422BF"/>
    <w:rsid w:val="7C484810"/>
    <w:rsid w:val="7C4F1B5E"/>
    <w:rsid w:val="7C701FB9"/>
    <w:rsid w:val="7CF624BE"/>
    <w:rsid w:val="7D23702C"/>
    <w:rsid w:val="7D4A280A"/>
    <w:rsid w:val="7D4E22FA"/>
    <w:rsid w:val="7D612BF7"/>
    <w:rsid w:val="7D67516A"/>
    <w:rsid w:val="7D6A4C5A"/>
    <w:rsid w:val="7D847ACA"/>
    <w:rsid w:val="7D985324"/>
    <w:rsid w:val="7DC223A1"/>
    <w:rsid w:val="7DFC2364"/>
    <w:rsid w:val="7E6D055E"/>
    <w:rsid w:val="7EA83C8C"/>
    <w:rsid w:val="7EBC14E6"/>
    <w:rsid w:val="7F1E3F4E"/>
    <w:rsid w:val="7F1E5CFC"/>
    <w:rsid w:val="7F2350C1"/>
    <w:rsid w:val="7F7818B1"/>
    <w:rsid w:val="7F82097A"/>
    <w:rsid w:val="7FC42DF2"/>
    <w:rsid w:val="7FCA19E0"/>
    <w:rsid w:val="7FCD50AA"/>
    <w:rsid w:val="F45D4B96"/>
    <w:rsid w:val="F9D73460"/>
    <w:rsid w:val="FF75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20"/>
    <w:semiHidden/>
    <w:unhideWhenUsed/>
    <w:qFormat/>
    <w:uiPriority w:val="99"/>
    <w:pPr>
      <w:spacing w:after="120"/>
    </w:pPr>
  </w:style>
  <w:style w:type="paragraph" w:styleId="6">
    <w:name w:val="Body Text Indent"/>
    <w:basedOn w:val="1"/>
    <w:next w:val="4"/>
    <w:link w:val="23"/>
    <w:qFormat/>
    <w:uiPriority w:val="0"/>
    <w:pPr>
      <w:spacing w:after="120"/>
      <w:ind w:left="420" w:leftChars="200"/>
    </w:pPr>
    <w:rPr>
      <w:rFonts w:ascii="Times New Roman" w:hAnsi="Times New Roman" w:eastAsia="宋体" w:cs="Times New Roman"/>
      <w:szCs w:val="24"/>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7"/>
    <w:qFormat/>
    <w:uiPriority w:val="0"/>
    <w:pPr>
      <w:spacing w:line="360" w:lineRule="auto"/>
    </w:pPr>
    <w:rPr>
      <w:rFonts w:ascii="Times New Roman" w:hAnsi="Times New Roman" w:eastAsia="宋体" w:cs="Times New Roman"/>
      <w:sz w:val="24"/>
      <w:szCs w:val="24"/>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semiHidden/>
    <w:unhideWhenUsed/>
    <w:qFormat/>
    <w:uiPriority w:val="99"/>
    <w:rPr>
      <w:color w:val="0000FF"/>
      <w:u w:val="single"/>
    </w:rPr>
  </w:style>
  <w:style w:type="character" w:customStyle="1" w:styleId="14">
    <w:name w:val="标题 2 Char"/>
    <w:basedOn w:val="12"/>
    <w:link w:val="2"/>
    <w:qFormat/>
    <w:uiPriority w:val="9"/>
    <w:rPr>
      <w:rFonts w:ascii="宋体" w:hAnsi="宋体" w:eastAsia="宋体" w:cs="宋体"/>
      <w:b/>
      <w:bCs/>
      <w:kern w:val="0"/>
      <w:sz w:val="36"/>
      <w:szCs w:val="36"/>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正文文本 2 Char"/>
    <w:basedOn w:val="12"/>
    <w:link w:val="9"/>
    <w:qFormat/>
    <w:uiPriority w:val="0"/>
    <w:rPr>
      <w:rFonts w:ascii="Times New Roman" w:hAnsi="Times New Roman" w:eastAsia="宋体" w:cs="Times New Roman"/>
      <w:sz w:val="24"/>
      <w:szCs w:val="24"/>
    </w:rPr>
  </w:style>
  <w:style w:type="character" w:customStyle="1" w:styleId="18">
    <w:name w:val="标题 3 Char"/>
    <w:basedOn w:val="12"/>
    <w:link w:val="3"/>
    <w:semiHidden/>
    <w:qFormat/>
    <w:uiPriority w:val="9"/>
    <w:rPr>
      <w:b/>
      <w:bCs/>
      <w:sz w:val="32"/>
      <w:szCs w:val="32"/>
    </w:rPr>
  </w:style>
  <w:style w:type="paragraph" w:styleId="19">
    <w:name w:val="List Paragraph"/>
    <w:basedOn w:val="1"/>
    <w:qFormat/>
    <w:uiPriority w:val="1"/>
    <w:pPr>
      <w:ind w:firstLine="420" w:firstLineChars="200"/>
    </w:pPr>
  </w:style>
  <w:style w:type="character" w:customStyle="1" w:styleId="20">
    <w:name w:val="正文文本 Char"/>
    <w:basedOn w:val="12"/>
    <w:link w:val="5"/>
    <w:semiHidden/>
    <w:qFormat/>
    <w:uiPriority w:val="99"/>
  </w:style>
  <w:style w:type="table" w:customStyle="1" w:styleId="21">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22">
    <w:name w:val="Table Paragraph"/>
    <w:basedOn w:val="1"/>
    <w:qFormat/>
    <w:uiPriority w:val="1"/>
    <w:pPr>
      <w:autoSpaceDE w:val="0"/>
      <w:autoSpaceDN w:val="0"/>
      <w:jc w:val="left"/>
    </w:pPr>
    <w:rPr>
      <w:rFonts w:ascii="Noto Sans Mono CJK JP Bold" w:hAnsi="Noto Sans Mono CJK JP Bold" w:eastAsia="Noto Sans Mono CJK JP Bold" w:cs="Noto Sans Mono CJK JP Bold"/>
      <w:kern w:val="0"/>
      <w:sz w:val="22"/>
    </w:rPr>
  </w:style>
  <w:style w:type="character" w:customStyle="1" w:styleId="23">
    <w:name w:val="正文文本缩进 Char"/>
    <w:basedOn w:val="12"/>
    <w:link w:val="6"/>
    <w:qFormat/>
    <w:uiPriority w:val="0"/>
    <w:rPr>
      <w:rFonts w:ascii="Times New Roman" w:hAnsi="Times New Roman" w:eastAsia="宋体" w:cs="Times New Roman"/>
      <w:szCs w:val="24"/>
    </w:rPr>
  </w:style>
  <w:style w:type="character" w:customStyle="1" w:styleId="24">
    <w:name w:val="NormalCharacter"/>
    <w:link w:val="25"/>
    <w:qFormat/>
    <w:uiPriority w:val="0"/>
    <w:rPr>
      <w:rFonts w:ascii="Tahoma" w:hAnsi="Tahoma"/>
      <w:sz w:val="24"/>
      <w:szCs w:val="20"/>
    </w:rPr>
  </w:style>
  <w:style w:type="paragraph" w:customStyle="1" w:styleId="25">
    <w:name w:val="UserStyle_85"/>
    <w:basedOn w:val="1"/>
    <w:link w:val="24"/>
    <w:qFormat/>
    <w:uiPriority w:val="0"/>
    <w:rPr>
      <w:rFonts w:ascii="Tahoma" w:hAnsi="Tahoma"/>
      <w:sz w:val="24"/>
      <w:szCs w:val="20"/>
    </w:rPr>
  </w:style>
  <w:style w:type="paragraph" w:customStyle="1" w:styleId="26">
    <w:name w:val="无间隔1"/>
    <w:qFormat/>
    <w:uiPriority w:val="99"/>
    <w:pPr>
      <w:adjustRightInd w:val="0"/>
      <w:snapToGrid w:val="0"/>
    </w:pPr>
    <w:rPr>
      <w:rFonts w:ascii="Tahoma" w:hAnsi="Tahoma" w:eastAsia="微软雅黑" w:cs="Times New Roman"/>
      <w:kern w:val="0"/>
      <w:sz w:val="22"/>
      <w:szCs w:val="22"/>
      <w:lang w:val="en-US" w:eastAsia="zh-CN" w:bidi="ar-SA"/>
    </w:rPr>
  </w:style>
  <w:style w:type="paragraph" w:customStyle="1" w:styleId="27">
    <w:name w:val="无间隔1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2012dnd.com</Company>
  <Pages>7</Pages>
  <Words>3919</Words>
  <Characters>4228</Characters>
  <Lines>24</Lines>
  <Paragraphs>6</Paragraphs>
  <TotalTime>114</TotalTime>
  <ScaleCrop>false</ScaleCrop>
  <LinksUpToDate>false</LinksUpToDate>
  <CharactersWithSpaces>4283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2023-02-21T07:22:00Z</dcterms:created>
  <dc:creator>Administrator</dc:creator>
  <cp:lastModifiedBy>AWNYOA</cp:lastModifiedBy>
  <cp:lastPrinted>2023-02-26T07:32:00Z</cp:lastPrinted>
  <dcterms:modified xsi:type="dcterms:W3CDTF">2026-01-06T08:59:49Z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17FC98A2EF8E4859B3C6774D1434EA92_13</vt:lpwstr>
  </property>
  <property fmtid="{D5CDD505-2E9C-101B-9397-08002B2CF9AE}" pid="4" name="KSOTemplateDocerSaveRecord">
    <vt:lpwstr>eyJoZGlkIjoiNjljYTdmMjk3Y2VlMjZjMjJjOTYyMTc2ODI3YWU2OTAiLCJ1c2VySWQiOiIyODcyNDY1NTQifQ==</vt:lpwstr>
  </property>
</Properties>
</file>