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1B2CCA">
      <w:pPr>
        <w:jc w:val="center"/>
        <w:rPr>
          <w:rFonts w:ascii="Segoe UI Emoji" w:hAnsi="Segoe UI Emoji" w:eastAsia="Segoe UI Emoji" w:cs="Segoe UI Emoji"/>
          <w:i w:val="0"/>
          <w:iCs w:val="0"/>
          <w:caps w:val="0"/>
          <w:color w:val="1F2329"/>
          <w:spacing w:val="0"/>
          <w:sz w:val="24"/>
          <w:szCs w:val="24"/>
          <w:shd w:val="clear" w:fill="FFFFFF"/>
        </w:rPr>
      </w:pPr>
      <w:r>
        <w:rPr>
          <w:rFonts w:hint="eastAsia" w:asciiTheme="minorEastAsia" w:hAnsiTheme="minorEastAsia"/>
          <w:b/>
          <w:bCs/>
          <w:sz w:val="36"/>
          <w:szCs w:val="24"/>
        </w:rPr>
        <w:t>重庆冠达世纪游轮有限公司招标公告</w:t>
      </w:r>
    </w:p>
    <w:p w14:paraId="201872AB">
      <w:pPr>
        <w:spacing w:line="360" w:lineRule="auto"/>
        <w:ind w:firstLine="560" w:firstLineChars="200"/>
        <w:jc w:val="left"/>
        <w:rPr>
          <w:rFonts w:hint="eastAsia" w:asciiTheme="minorEastAsia" w:hAnsiTheme="minorEastAsia"/>
          <w:sz w:val="28"/>
          <w:szCs w:val="28"/>
        </w:rPr>
      </w:pPr>
      <w:r>
        <w:rPr>
          <w:rFonts w:hint="eastAsia" w:cs="Arial" w:asciiTheme="minorEastAsia" w:hAnsiTheme="minorEastAsia"/>
          <w:kern w:val="0"/>
          <w:sz w:val="28"/>
          <w:szCs w:val="28"/>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r>
        <w:rPr>
          <w:rFonts w:hint="eastAsia" w:asciiTheme="minorEastAsia" w:hAnsiTheme="minorEastAsia"/>
          <w:sz w:val="28"/>
          <w:szCs w:val="28"/>
        </w:rPr>
        <w:br w:type="textWrapping"/>
      </w:r>
      <w:r>
        <w:rPr>
          <w:rFonts w:hint="eastAsia" w:asciiTheme="minorEastAsia" w:hAnsiTheme="minorEastAsia"/>
          <w:sz w:val="28"/>
          <w:szCs w:val="28"/>
          <w:lang w:val="en-US" w:eastAsia="zh-CN"/>
        </w:rPr>
        <w:t xml:space="preserve">    </w:t>
      </w:r>
      <w:r>
        <w:rPr>
          <w:rFonts w:hint="eastAsia" w:cs="Arial" w:asciiTheme="minorEastAsia" w:hAnsiTheme="minorEastAsia"/>
          <w:kern w:val="0"/>
          <w:sz w:val="28"/>
          <w:szCs w:val="28"/>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  本项</w:t>
      </w:r>
      <w:r>
        <w:rPr>
          <w:rFonts w:hint="eastAsia" w:cs="Arial" w:asciiTheme="minorEastAsia" w:hAnsiTheme="minorEastAsia"/>
          <w:kern w:val="0"/>
          <w:sz w:val="28"/>
          <w:szCs w:val="28"/>
          <w:lang w:val="en-US" w:eastAsia="zh-CN"/>
        </w:rPr>
        <w:t>目</w:t>
      </w:r>
      <w:r>
        <w:rPr>
          <w:rFonts w:hint="eastAsia" w:cs="Arial" w:asciiTheme="minorEastAsia" w:hAnsiTheme="minorEastAsia"/>
          <w:kern w:val="0"/>
          <w:sz w:val="28"/>
          <w:szCs w:val="28"/>
          <w:u w:val="single"/>
        </w:rPr>
        <w:t>春节+开航季朋友圈竞价广告项目招标</w:t>
      </w:r>
      <w:r>
        <w:rPr>
          <w:rFonts w:hint="eastAsia" w:cs="Arial" w:asciiTheme="minorEastAsia" w:hAnsiTheme="minorEastAsia"/>
          <w:kern w:val="0"/>
          <w:sz w:val="28"/>
          <w:szCs w:val="28"/>
        </w:rPr>
        <w:t>资金来自自筹资金已全部到位。项目已具备招标条件，现对该项目进行公开招标。</w:t>
      </w:r>
    </w:p>
    <w:p w14:paraId="1D2412C9">
      <w:pPr>
        <w:widowControl/>
        <w:shd w:val="clear" w:color="auto" w:fill="FFFFFF"/>
        <w:spacing w:line="540" w:lineRule="exact"/>
        <w:jc w:val="left"/>
        <w:outlineLvl w:val="1"/>
        <w:rPr>
          <w:rFonts w:cs="Arial" w:asciiTheme="minorEastAsia" w:hAnsiTheme="minorEastAsia"/>
          <w:b/>
          <w:kern w:val="0"/>
          <w:sz w:val="28"/>
          <w:szCs w:val="28"/>
        </w:rPr>
      </w:pPr>
      <w:r>
        <w:rPr>
          <w:rFonts w:hint="eastAsia" w:cs="Arial" w:asciiTheme="minorEastAsia" w:hAnsiTheme="minorEastAsia"/>
          <w:b/>
          <w:kern w:val="0"/>
          <w:sz w:val="28"/>
          <w:szCs w:val="28"/>
        </w:rPr>
        <w:t>一、</w:t>
      </w:r>
      <w:r>
        <w:rPr>
          <w:rFonts w:hint="eastAsia" w:cs="Arial" w:asciiTheme="minorEastAsia" w:hAnsiTheme="minorEastAsia"/>
          <w:b/>
          <w:kern w:val="0"/>
          <w:sz w:val="28"/>
          <w:szCs w:val="28"/>
          <w:lang w:eastAsia="zh-CN"/>
        </w:rPr>
        <w:t>投标前置</w:t>
      </w:r>
      <w:r>
        <w:rPr>
          <w:rFonts w:hint="eastAsia" w:cs="Arial" w:asciiTheme="minorEastAsia" w:hAnsiTheme="minorEastAsia"/>
          <w:b/>
          <w:kern w:val="0"/>
          <w:sz w:val="28"/>
          <w:szCs w:val="28"/>
        </w:rPr>
        <w:t>条件</w:t>
      </w:r>
    </w:p>
    <w:p w14:paraId="391A3405">
      <w:pPr>
        <w:pStyle w:val="4"/>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bookmarkStart w:id="0" w:name="_Toc79576674"/>
      <w:bookmarkEnd w:id="0"/>
      <w:bookmarkStart w:id="1" w:name="_Toc12609203"/>
      <w:bookmarkEnd w:id="1"/>
      <w:bookmarkStart w:id="2" w:name="_Toc389065123"/>
      <w:bookmarkEnd w:id="2"/>
      <w:r>
        <w:rPr>
          <w:rFonts w:hint="eastAsia" w:asciiTheme="minorEastAsia" w:hAnsiTheme="minorEastAsia" w:eastAsiaTheme="minorEastAsia" w:cstheme="minorBidi"/>
          <w:kern w:val="2"/>
          <w:sz w:val="28"/>
          <w:szCs w:val="28"/>
          <w:lang w:val="en-US" w:eastAsia="zh-CN" w:bidi="ar-SA"/>
        </w:rPr>
        <w:t>投标单位必须符合但不限于《中华人民共和国政府采购法》第二十二条要求；</w:t>
      </w:r>
    </w:p>
    <w:p w14:paraId="34EF736D">
      <w:pPr>
        <w:pStyle w:val="4"/>
        <w:numPr>
          <w:ilvl w:val="0"/>
          <w:numId w:val="1"/>
        </w:numPr>
        <w:spacing w:line="540" w:lineRule="exact"/>
        <w:ind w:left="0" w:right="-143" w:rightChars="-68" w:firstLine="566" w:firstLineChars="0"/>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投标单位在“信用中国”（www.creditchina.gov.cn）网站中未被列入失信被执行人、重大税收违法案件当事人名单、不限于政府采购严重违法失信行为记录名单。</w:t>
      </w:r>
    </w:p>
    <w:p w14:paraId="24F18DD3">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根据最高人民法院等9部门《关于在招标投标活动中对失信被执行人实施联合惩戒的通知》（法〔2016〕285号）规定，投标人不得为失信被执行人（以评标阶段通过“信用中国”网站（www.creditchina.gov.cn）查询的结果为准）</w:t>
      </w:r>
    </w:p>
    <w:p w14:paraId="046ED358">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本次招标不接受联合体投标</w:t>
      </w:r>
    </w:p>
    <w:p w14:paraId="219918C9">
      <w:pPr>
        <w:widowControl/>
        <w:shd w:val="clear" w:color="auto" w:fill="FFFFFF"/>
        <w:spacing w:line="400" w:lineRule="atLeast"/>
        <w:jc w:val="left"/>
        <w:outlineLvl w:val="1"/>
        <w:rPr>
          <w:rFonts w:cs="Arial" w:asciiTheme="minorEastAsia" w:hAnsiTheme="minorEastAsia"/>
          <w:b/>
          <w:color w:val="333333"/>
          <w:kern w:val="0"/>
          <w:sz w:val="28"/>
          <w:szCs w:val="28"/>
        </w:rPr>
      </w:pPr>
      <w:r>
        <w:rPr>
          <w:rFonts w:hint="eastAsia" w:cs="Arial" w:asciiTheme="minorEastAsia" w:hAnsiTheme="minorEastAsia"/>
          <w:b/>
          <w:color w:val="333333"/>
          <w:kern w:val="0"/>
          <w:sz w:val="28"/>
          <w:szCs w:val="28"/>
        </w:rPr>
        <w:t>二、项目概况与招标范围</w:t>
      </w:r>
    </w:p>
    <w:p w14:paraId="735D5B52">
      <w:pPr>
        <w:widowControl/>
        <w:numPr>
          <w:numId w:val="0"/>
        </w:numPr>
        <w:shd w:val="clear" w:color="auto" w:fill="FFFFFF"/>
        <w:spacing w:line="540" w:lineRule="exact"/>
        <w:ind w:firstLine="560" w:firstLineChars="20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1、</w:t>
      </w:r>
      <w:r>
        <w:rPr>
          <w:rFonts w:hint="eastAsia" w:asciiTheme="minorEastAsia" w:hAnsiTheme="minorEastAsia" w:eastAsiaTheme="minorEastAsia" w:cstheme="minorBidi"/>
          <w:kern w:val="2"/>
          <w:sz w:val="28"/>
          <w:szCs w:val="28"/>
          <w:lang w:val="en-US" w:eastAsia="zh-CN" w:bidi="ar-SA"/>
        </w:rPr>
        <w:t xml:space="preserve">项目名称：春节+开航季朋友圈竞价广告项目招标 </w:t>
      </w:r>
    </w:p>
    <w:p w14:paraId="3A86A669">
      <w:pPr>
        <w:widowControl/>
        <w:numPr>
          <w:numId w:val="0"/>
        </w:numPr>
        <w:shd w:val="clear" w:color="auto" w:fill="FFFFFF"/>
        <w:spacing w:line="540" w:lineRule="exact"/>
        <w:ind w:left="566" w:left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2、</w:t>
      </w:r>
      <w:r>
        <w:rPr>
          <w:rFonts w:hint="eastAsia" w:asciiTheme="minorEastAsia" w:hAnsiTheme="minorEastAsia" w:eastAsiaTheme="minorEastAsia" w:cstheme="minorBidi"/>
          <w:kern w:val="2"/>
          <w:sz w:val="28"/>
          <w:szCs w:val="28"/>
          <w:lang w:val="en-US" w:eastAsia="zh-CN" w:bidi="ar-SA"/>
        </w:rPr>
        <w:t xml:space="preserve">项目最高限标价：27万元 </w:t>
      </w:r>
    </w:p>
    <w:p w14:paraId="7CA0A513">
      <w:pPr>
        <w:widowControl/>
        <w:numPr>
          <w:numId w:val="0"/>
        </w:numPr>
        <w:shd w:val="clear" w:color="auto" w:fill="FFFFFF"/>
        <w:spacing w:line="540" w:lineRule="exact"/>
        <w:ind w:left="566" w:left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3、</w:t>
      </w:r>
      <w:r>
        <w:rPr>
          <w:rFonts w:hint="eastAsia" w:asciiTheme="minorEastAsia" w:hAnsiTheme="minorEastAsia" w:eastAsiaTheme="minorEastAsia" w:cstheme="minorBidi"/>
          <w:kern w:val="2"/>
          <w:sz w:val="28"/>
          <w:szCs w:val="28"/>
          <w:lang w:val="en-US" w:eastAsia="zh-CN" w:bidi="ar-SA"/>
        </w:rPr>
        <w:t xml:space="preserve">合同履行期限：覆盖2026年2月10日-2月28日春节+开航季主题活动核心宣传期，确保广告投放的针对性和时效性 </w:t>
      </w:r>
    </w:p>
    <w:p w14:paraId="3D19FF0F">
      <w:pPr>
        <w:widowControl/>
        <w:numPr>
          <w:numId w:val="0"/>
        </w:numPr>
        <w:shd w:val="clear" w:color="auto" w:fill="FFFFFF"/>
        <w:spacing w:line="540" w:lineRule="exact"/>
        <w:ind w:left="566" w:left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cstheme="minorBidi"/>
          <w:kern w:val="2"/>
          <w:sz w:val="28"/>
          <w:szCs w:val="28"/>
          <w:lang w:val="en-US" w:eastAsia="zh-CN" w:bidi="ar-SA"/>
        </w:rPr>
        <w:t>4、</w:t>
      </w:r>
      <w:r>
        <w:rPr>
          <w:rFonts w:hint="eastAsia" w:asciiTheme="minorEastAsia" w:hAnsiTheme="minorEastAsia" w:eastAsiaTheme="minorEastAsia" w:cstheme="minorBidi"/>
          <w:kern w:val="2"/>
          <w:sz w:val="28"/>
          <w:szCs w:val="28"/>
          <w:lang w:val="en-US" w:eastAsia="zh-CN" w:bidi="ar-SA"/>
        </w:rPr>
        <w:t xml:space="preserve">项目需求 ① 结合春节+开航季主题活动，在核心宣传期投放朋友圈竞价广告，内容聚焦新船产品或早鸟产品信息，突出产品优惠及活动亮点，促进产品销售转化； ② 实时监测广告投放数据，包括曝光量、点击率、咨询量、销售转化量等关键指标，确保广告预估曝光总量达到60万+，并根据数据反馈及时优化投放策略； ③ 精准触达活动目标客群，保障广告投放的精准度和有效性，助力实现产品销售目标。 </w:t>
      </w:r>
    </w:p>
    <w:p w14:paraId="40CB9A71">
      <w:pPr>
        <w:widowControl/>
        <w:numPr>
          <w:ilvl w:val="0"/>
          <w:numId w:val="1"/>
        </w:numPr>
        <w:shd w:val="clear" w:color="auto" w:fill="FFFFFF"/>
        <w:spacing w:line="540" w:lineRule="exact"/>
        <w:ind w:left="0" w:leftChars="0" w:firstLine="566" w:firstLineChars="0"/>
        <w:jc w:val="left"/>
        <w:outlineLvl w:val="1"/>
        <w:rPr>
          <w:rFonts w:hint="eastAsia" w:asciiTheme="minorEastAsia" w:hAnsiTheme="minorEastAsia" w:eastAsiaTheme="minorEastAsia" w:cstheme="minorBidi"/>
          <w:kern w:val="2"/>
          <w:sz w:val="28"/>
          <w:szCs w:val="28"/>
          <w:lang w:val="en-US" w:eastAsia="zh-CN" w:bidi="ar-SA"/>
        </w:rPr>
      </w:pPr>
      <w:r>
        <w:rPr>
          <w:rFonts w:hint="eastAsia" w:asciiTheme="minorEastAsia" w:hAnsiTheme="minorEastAsia" w:eastAsiaTheme="minorEastAsia" w:cstheme="minorBidi"/>
          <w:kern w:val="2"/>
          <w:sz w:val="28"/>
          <w:szCs w:val="28"/>
          <w:lang w:val="en-US" w:eastAsia="zh-CN" w:bidi="ar-SA"/>
        </w:rPr>
        <w:t>本项目不接受联合体投标及项目转包。</w:t>
      </w:r>
    </w:p>
    <w:p w14:paraId="422F0024">
      <w:pPr>
        <w:pStyle w:val="4"/>
        <w:numPr>
          <w:ilvl w:val="0"/>
          <w:numId w:val="0"/>
        </w:numPr>
        <w:spacing w:line="360" w:lineRule="auto"/>
        <w:ind w:leftChars="0" w:right="-143" w:rightChars="-68"/>
        <w:rPr>
          <w:rFonts w:hint="eastAsia" w:eastAsia="宋体"/>
          <w:lang w:val="en-US" w:eastAsia="zh-CN"/>
        </w:rPr>
      </w:pPr>
      <w:r>
        <w:rPr>
          <w:rFonts w:ascii="Segoe UI Emoji" w:hAnsi="Segoe UI Emoji" w:eastAsia="Segoe UI Emoji" w:cs="Segoe UI Emoji"/>
          <w:i w:val="0"/>
          <w:iCs w:val="0"/>
          <w:caps w:val="0"/>
          <w:color w:val="1F2329"/>
          <w:spacing w:val="0"/>
          <w:sz w:val="24"/>
          <w:szCs w:val="24"/>
          <w:shd w:val="clear" w:fill="FFFFFF"/>
        </w:rPr>
        <w:t xml:space="preserve"> </w:t>
      </w:r>
    </w:p>
    <w:p w14:paraId="6EB5A822">
      <w:pPr>
        <w:widowControl/>
        <w:shd w:val="clear" w:color="auto" w:fill="FFFFFF"/>
        <w:spacing w:line="400" w:lineRule="atLeast"/>
        <w:jc w:val="left"/>
        <w:outlineLvl w:val="1"/>
        <w:rPr>
          <w:rFonts w:cs="Arial" w:asciiTheme="minorEastAsia" w:hAnsiTheme="minorEastAsia"/>
          <w:b/>
          <w:color w:val="333333"/>
          <w:kern w:val="0"/>
          <w:sz w:val="28"/>
          <w:szCs w:val="28"/>
        </w:rPr>
      </w:pPr>
      <w:bookmarkStart w:id="3" w:name="_Toc389065124"/>
      <w:r>
        <w:rPr>
          <w:rFonts w:hint="eastAsia" w:cs="Arial" w:asciiTheme="minorEastAsia" w:hAnsiTheme="minorEastAsia"/>
          <w:b/>
          <w:color w:val="333333"/>
          <w:kern w:val="0"/>
          <w:sz w:val="28"/>
          <w:szCs w:val="28"/>
        </w:rPr>
        <w:t>三、 </w:t>
      </w:r>
      <w:bookmarkEnd w:id="3"/>
      <w:r>
        <w:rPr>
          <w:rFonts w:hint="eastAsia" w:cs="Arial" w:asciiTheme="minorEastAsia" w:hAnsiTheme="minorEastAsia"/>
          <w:b/>
          <w:color w:val="333333"/>
          <w:kern w:val="0"/>
          <w:sz w:val="28"/>
          <w:szCs w:val="28"/>
        </w:rPr>
        <w:t>投标人资格要求</w:t>
      </w:r>
    </w:p>
    <w:p w14:paraId="161F1A96">
      <w:pPr>
        <w:spacing w:line="360" w:lineRule="auto"/>
        <w:ind w:left="559" w:leftChars="266" w:firstLine="0" w:firstLineChars="0"/>
        <w:jc w:val="left"/>
        <w:rPr>
          <w:rFonts w:hint="eastAsia" w:cs="Arial" w:asciiTheme="minorEastAsia" w:hAnsiTheme="minorEastAsia"/>
          <w:kern w:val="0"/>
          <w:sz w:val="28"/>
          <w:szCs w:val="28"/>
        </w:rPr>
      </w:pPr>
      <w:r>
        <w:rPr>
          <w:rFonts w:hint="eastAsia" w:cs="Arial" w:asciiTheme="minorEastAsia" w:hAnsiTheme="minorEastAsia"/>
          <w:kern w:val="0"/>
          <w:sz w:val="28"/>
          <w:szCs w:val="28"/>
        </w:rPr>
        <w:t>1、具有独立承担民事责任的能力。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lang w:val="en-US" w:eastAsia="zh-CN"/>
        </w:rPr>
        <w:t>2</w:t>
      </w:r>
      <w:r>
        <w:rPr>
          <w:rFonts w:hint="eastAsia" w:cs="Arial" w:asciiTheme="minorEastAsia" w:hAnsiTheme="minorEastAsia"/>
          <w:kern w:val="0"/>
          <w:sz w:val="28"/>
          <w:szCs w:val="28"/>
        </w:rPr>
        <w:t>、具有履行合同所必须的设备和专业技术能力。</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3、有依法缴纳税收和社会保障资金的良好记录。</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4、过去三年在企业经营中没有重大违法记录及民事纠纷。</w:t>
      </w:r>
      <w:r>
        <w:rPr>
          <w:rFonts w:hint="eastAsia" w:cs="Arial" w:asciiTheme="minorEastAsia" w:hAnsiTheme="minorEastAsia"/>
          <w:kern w:val="0"/>
          <w:sz w:val="28"/>
          <w:szCs w:val="28"/>
        </w:rPr>
        <w:br w:type="textWrapping"/>
      </w:r>
      <w:r>
        <w:rPr>
          <w:rFonts w:hint="eastAsia" w:cs="Arial" w:asciiTheme="minorEastAsia" w:hAnsiTheme="minorEastAsia"/>
          <w:kern w:val="0"/>
          <w:sz w:val="28"/>
          <w:szCs w:val="28"/>
        </w:rPr>
        <w:t>5、投标人提交的本公司业绩情况及成功案例必须真实，甲方可根据需求进行实地考查。</w:t>
      </w:r>
    </w:p>
    <w:p w14:paraId="1DD688EA">
      <w:pPr>
        <w:widowControl/>
        <w:shd w:val="clear" w:color="auto" w:fill="FFFFFF"/>
        <w:spacing w:line="400" w:lineRule="atLeast"/>
        <w:jc w:val="left"/>
        <w:outlineLvl w:val="1"/>
        <w:rPr>
          <w:rFonts w:ascii="Segoe UI Emoji" w:hAnsi="Segoe UI Emoji" w:eastAsia="Segoe UI Emoji" w:cs="Segoe UI Emoji"/>
          <w:i w:val="0"/>
          <w:iCs w:val="0"/>
          <w:caps w:val="0"/>
          <w:color w:val="1F2329"/>
          <w:spacing w:val="0"/>
          <w:sz w:val="24"/>
          <w:szCs w:val="24"/>
          <w:shd w:val="clear" w:fill="FFFFFF"/>
        </w:rPr>
      </w:pPr>
      <w:r>
        <w:rPr>
          <w:rFonts w:hint="eastAsia" w:cs="Arial" w:asciiTheme="minorEastAsia" w:hAnsiTheme="minorEastAsia"/>
          <w:b/>
          <w:color w:val="333333"/>
          <w:kern w:val="0"/>
          <w:sz w:val="28"/>
          <w:szCs w:val="28"/>
        </w:rPr>
        <w:t>四、投标文件的组成</w:t>
      </w:r>
    </w:p>
    <w:p w14:paraId="14BBC617">
      <w:pPr>
        <w:pStyle w:val="4"/>
        <w:numPr>
          <w:ilvl w:val="0"/>
          <w:numId w:val="2"/>
        </w:numPr>
        <w:spacing w:line="360" w:lineRule="auto"/>
        <w:ind w:firstLineChars="0"/>
        <w:rPr>
          <w:rFonts w:hint="eastAsia" w:cs="Arial" w:asciiTheme="minorEastAsia" w:hAnsiTheme="minorEastAsia" w:eastAsiaTheme="minorEastAsia"/>
          <w:kern w:val="0"/>
          <w:sz w:val="28"/>
          <w:szCs w:val="28"/>
          <w:lang w:val="en-US" w:eastAsia="zh-CN" w:bidi="ar-SA"/>
        </w:rPr>
      </w:pPr>
      <w:r>
        <w:rPr>
          <w:rFonts w:hint="eastAsia" w:cs="Arial" w:asciiTheme="minorEastAsia" w:hAnsiTheme="minorEastAsia" w:eastAsiaTheme="minorEastAsia"/>
          <w:kern w:val="0"/>
          <w:sz w:val="28"/>
          <w:szCs w:val="28"/>
          <w:lang w:val="en-US" w:eastAsia="zh-CN" w:bidi="ar-SA"/>
        </w:rPr>
        <w:t>技术资信文件（不含报价）：</w:t>
      </w:r>
    </w:p>
    <w:p w14:paraId="5E95294E">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法定代表人授权委托书；</w:t>
      </w:r>
    </w:p>
    <w:p w14:paraId="2FCB1925">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企业法人营业执照副本复印件；</w:t>
      </w:r>
    </w:p>
    <w:p w14:paraId="25E76E3F">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供应商的基本情况介绍及</w:t>
      </w:r>
      <w:r>
        <w:rPr>
          <w:rFonts w:hint="eastAsia" w:cs="Arial" w:asciiTheme="minorEastAsia" w:hAnsiTheme="minorEastAsia" w:eastAsiaTheme="minorEastAsia"/>
          <w:kern w:val="0"/>
          <w:sz w:val="28"/>
          <w:szCs w:val="28"/>
          <w:lang w:val="en-US" w:eastAsia="zh-CN" w:bidi="ar-SA"/>
        </w:rPr>
        <w:t>荣誉</w:t>
      </w:r>
      <w:r>
        <w:rPr>
          <w:rFonts w:hint="eastAsia" w:cs="Arial" w:asciiTheme="minorEastAsia" w:hAnsiTheme="minorEastAsia" w:eastAsiaTheme="minorEastAsia"/>
          <w:kern w:val="0"/>
          <w:sz w:val="28"/>
          <w:szCs w:val="28"/>
          <w:lang w:val="zh-CN" w:eastAsia="zh-CN" w:bidi="ar-SA"/>
        </w:rPr>
        <w:t>；</w:t>
      </w:r>
    </w:p>
    <w:p w14:paraId="7A83F5DB">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企业信用公示系统的报告；</w:t>
      </w:r>
    </w:p>
    <w:p w14:paraId="31C68064">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项目实施方案；</w:t>
      </w:r>
    </w:p>
    <w:p w14:paraId="5036A1DD">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TW" w:eastAsia="zh-CN" w:bidi="ar-SA"/>
        </w:rPr>
      </w:pPr>
      <w:r>
        <w:rPr>
          <w:rFonts w:hint="eastAsia" w:cs="Arial" w:asciiTheme="minorEastAsia" w:hAnsiTheme="minorEastAsia" w:eastAsiaTheme="minorEastAsia"/>
          <w:kern w:val="0"/>
          <w:sz w:val="28"/>
          <w:szCs w:val="28"/>
          <w:lang w:val="zh-CN" w:eastAsia="zh-CN" w:bidi="ar-SA"/>
        </w:rPr>
        <w:t>同类项目</w:t>
      </w:r>
      <w:r>
        <w:rPr>
          <w:rFonts w:hint="eastAsia" w:cs="Arial" w:asciiTheme="minorEastAsia" w:hAnsiTheme="minorEastAsia" w:eastAsiaTheme="minorEastAsia"/>
          <w:kern w:val="0"/>
          <w:sz w:val="28"/>
          <w:szCs w:val="28"/>
          <w:lang w:val="zh-TW" w:eastAsia="zh-CN" w:bidi="ar-SA"/>
        </w:rPr>
        <w:t>业绩和</w:t>
      </w:r>
      <w:r>
        <w:rPr>
          <w:rFonts w:hint="eastAsia" w:cs="Arial" w:asciiTheme="minorEastAsia" w:hAnsiTheme="minorEastAsia" w:eastAsiaTheme="minorEastAsia"/>
          <w:kern w:val="0"/>
          <w:sz w:val="28"/>
          <w:szCs w:val="28"/>
          <w:lang w:val="zh-CN" w:eastAsia="zh-CN" w:bidi="ar-SA"/>
        </w:rPr>
        <w:t>项目结案报告并加盖供应商鲜章</w:t>
      </w:r>
      <w:r>
        <w:rPr>
          <w:rFonts w:hint="eastAsia" w:cs="Arial" w:asciiTheme="minorEastAsia" w:hAnsiTheme="minorEastAsia" w:eastAsiaTheme="minorEastAsia"/>
          <w:kern w:val="0"/>
          <w:sz w:val="28"/>
          <w:szCs w:val="28"/>
          <w:lang w:val="zh-TW" w:eastAsia="zh-CN" w:bidi="ar-SA"/>
        </w:rPr>
        <w:t>；</w:t>
      </w:r>
    </w:p>
    <w:p w14:paraId="394C8205">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评分规则中涉及的所需提供的资料；</w:t>
      </w:r>
    </w:p>
    <w:p w14:paraId="0004BD06">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项目联系人及联系方式；</w:t>
      </w:r>
    </w:p>
    <w:p w14:paraId="53785D61">
      <w:pPr>
        <w:pStyle w:val="4"/>
        <w:numPr>
          <w:ilvl w:val="0"/>
          <w:numId w:val="3"/>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供应商需要说明的其他文件。</w:t>
      </w:r>
    </w:p>
    <w:p w14:paraId="52C13B32">
      <w:pPr>
        <w:pStyle w:val="4"/>
        <w:numPr>
          <w:ilvl w:val="0"/>
          <w:numId w:val="2"/>
        </w:numPr>
        <w:spacing w:line="360" w:lineRule="auto"/>
        <w:ind w:firstLineChars="0"/>
        <w:rPr>
          <w:rFonts w:hint="eastAsia" w:cs="Arial" w:asciiTheme="minorEastAsia" w:hAnsiTheme="minorEastAsia" w:eastAsiaTheme="minorEastAsia"/>
          <w:kern w:val="0"/>
          <w:sz w:val="28"/>
          <w:szCs w:val="28"/>
          <w:lang w:val="en-US" w:eastAsia="zh-CN" w:bidi="ar-SA"/>
        </w:rPr>
      </w:pPr>
      <w:r>
        <w:rPr>
          <w:rFonts w:hint="eastAsia" w:cs="Arial" w:asciiTheme="minorEastAsia" w:hAnsiTheme="minorEastAsia" w:eastAsiaTheme="minorEastAsia"/>
          <w:kern w:val="0"/>
          <w:sz w:val="28"/>
          <w:szCs w:val="28"/>
          <w:lang w:val="en-US" w:eastAsia="zh-CN" w:bidi="ar-SA"/>
        </w:rPr>
        <w:t>报价文件：</w:t>
      </w:r>
    </w:p>
    <w:p w14:paraId="147CC539">
      <w:pPr>
        <w:pStyle w:val="4"/>
        <w:numPr>
          <w:ilvl w:val="0"/>
          <w:numId w:val="4"/>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项目报价表（</w:t>
      </w:r>
      <w:r>
        <w:rPr>
          <w:rFonts w:hint="eastAsia" w:cs="Arial" w:asciiTheme="minorEastAsia" w:hAnsiTheme="minorEastAsia" w:eastAsiaTheme="minorEastAsia"/>
          <w:kern w:val="0"/>
          <w:sz w:val="28"/>
          <w:szCs w:val="28"/>
          <w:lang w:val="en-US" w:eastAsia="zh-CN" w:bidi="ar-SA"/>
        </w:rPr>
        <w:t>请按附件二格式填写</w:t>
      </w:r>
      <w:r>
        <w:rPr>
          <w:rFonts w:hint="eastAsia" w:cs="Arial" w:asciiTheme="minorEastAsia" w:hAnsiTheme="minorEastAsia" w:eastAsiaTheme="minorEastAsia"/>
          <w:kern w:val="0"/>
          <w:sz w:val="28"/>
          <w:szCs w:val="28"/>
          <w:lang w:val="zh-CN" w:eastAsia="zh-CN" w:bidi="ar-SA"/>
        </w:rPr>
        <w:t>）；</w:t>
      </w:r>
    </w:p>
    <w:p w14:paraId="4B569740">
      <w:pPr>
        <w:pStyle w:val="4"/>
        <w:numPr>
          <w:ilvl w:val="0"/>
          <w:numId w:val="4"/>
        </w:numPr>
        <w:snapToGrid w:val="0"/>
        <w:spacing w:line="360" w:lineRule="auto"/>
        <w:ind w:firstLine="6" w:firstLineChars="0"/>
        <w:rPr>
          <w:rFonts w:hint="eastAsia" w:cs="Arial" w:asciiTheme="minorEastAsia" w:hAnsiTheme="minorEastAsia" w:eastAsiaTheme="minorEastAsia"/>
          <w:kern w:val="0"/>
          <w:sz w:val="28"/>
          <w:szCs w:val="28"/>
          <w:lang w:val="zh-CN" w:eastAsia="zh-CN" w:bidi="ar-SA"/>
        </w:rPr>
      </w:pPr>
      <w:r>
        <w:rPr>
          <w:rFonts w:hint="eastAsia" w:cs="Arial" w:asciiTheme="minorEastAsia" w:hAnsiTheme="minorEastAsia" w:eastAsiaTheme="minorEastAsia"/>
          <w:kern w:val="0"/>
          <w:sz w:val="28"/>
          <w:szCs w:val="28"/>
          <w:lang w:val="zh-CN" w:eastAsia="zh-CN" w:bidi="ar-SA"/>
        </w:rPr>
        <w:t>供应商需要说明的其他文件。</w:t>
      </w:r>
    </w:p>
    <w:p w14:paraId="16ED73AF">
      <w:pPr>
        <w:widowControl/>
        <w:shd w:val="clear" w:color="auto" w:fill="FFFFFF"/>
        <w:spacing w:line="360" w:lineRule="auto"/>
        <w:ind w:firstLine="469"/>
        <w:jc w:val="left"/>
        <w:outlineLvl w:val="1"/>
        <w:rPr>
          <w:rFonts w:cs="Arial" w:asciiTheme="minorEastAsia" w:hAnsiTheme="minorEastAsia"/>
          <w:kern w:val="0"/>
          <w:sz w:val="28"/>
          <w:szCs w:val="28"/>
        </w:rPr>
      </w:pPr>
    </w:p>
    <w:p w14:paraId="73E05F29">
      <w:pPr>
        <w:pStyle w:val="4"/>
        <w:widowControl/>
        <w:numPr>
          <w:numId w:val="0"/>
        </w:numPr>
        <w:shd w:val="clear" w:color="auto" w:fill="FFFFFF"/>
        <w:spacing w:line="360" w:lineRule="auto"/>
        <w:ind w:left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lang w:val="en-US" w:eastAsia="zh-CN"/>
        </w:rPr>
        <w:t>五、</w:t>
      </w:r>
      <w:r>
        <w:rPr>
          <w:rFonts w:hint="eastAsia" w:cs="Arial" w:asciiTheme="minorEastAsia" w:hAnsiTheme="minorEastAsia"/>
          <w:b/>
          <w:kern w:val="0"/>
          <w:sz w:val="32"/>
          <w:szCs w:val="32"/>
        </w:rPr>
        <w:t>评标</w:t>
      </w:r>
      <w:r>
        <w:rPr>
          <w:rFonts w:hint="eastAsia" w:cs="宋体" w:asciiTheme="minorEastAsia" w:hAnsiTheme="minorEastAsia"/>
          <w:b/>
          <w:sz w:val="32"/>
          <w:szCs w:val="32"/>
        </w:rPr>
        <w:t>办法（综合评标法）</w:t>
      </w:r>
    </w:p>
    <w:p w14:paraId="2C683DAC">
      <w:pPr>
        <w:pStyle w:val="4"/>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评标过程</w:t>
      </w:r>
    </w:p>
    <w:p w14:paraId="6FB56831">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由评委委员会对投标人的投标文件按评标标准和程序进行评审；待全部评审工作结束，评标委员会应编制评标报告，评标委员会成员分别签名确认评审结果后，即产生最终的评标结果。</w:t>
      </w:r>
    </w:p>
    <w:p w14:paraId="77B630B6">
      <w:pPr>
        <w:pStyle w:val="4"/>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评标程序项目</w:t>
      </w:r>
    </w:p>
    <w:p w14:paraId="70895D80">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开标——资格审查——评审三个环节进行。</w:t>
      </w:r>
    </w:p>
    <w:p w14:paraId="69FA3F77">
      <w:pPr>
        <w:pStyle w:val="4"/>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评分内容及标准</w:t>
      </w:r>
    </w:p>
    <w:tbl>
      <w:tblPr>
        <w:tblStyle w:val="2"/>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798"/>
        <w:gridCol w:w="1906"/>
        <w:gridCol w:w="6087"/>
        <w:gridCol w:w="1354"/>
      </w:tblGrid>
      <w:tr w14:paraId="03631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gridSpan w:val="2"/>
            <w:shd w:val="clear" w:color="auto" w:fill="D8D8D8" w:themeFill="background1" w:themeFillShade="D9"/>
            <w:vAlign w:val="center"/>
          </w:tcPr>
          <w:p w14:paraId="18BF172F">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条款号</w:t>
            </w:r>
          </w:p>
        </w:tc>
        <w:tc>
          <w:tcPr>
            <w:tcW w:w="1906" w:type="dxa"/>
            <w:shd w:val="clear" w:color="auto" w:fill="D8D8D8" w:themeFill="background1" w:themeFillShade="D9"/>
            <w:vAlign w:val="center"/>
          </w:tcPr>
          <w:p w14:paraId="43744FA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评审因素</w:t>
            </w:r>
          </w:p>
        </w:tc>
        <w:tc>
          <w:tcPr>
            <w:tcW w:w="6087" w:type="dxa"/>
            <w:shd w:val="clear" w:color="auto" w:fill="D8D8D8" w:themeFill="background1" w:themeFillShade="D9"/>
            <w:vAlign w:val="center"/>
          </w:tcPr>
          <w:p w14:paraId="02E5E0D6">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评审标准</w:t>
            </w:r>
          </w:p>
        </w:tc>
        <w:tc>
          <w:tcPr>
            <w:tcW w:w="1354" w:type="dxa"/>
            <w:shd w:val="clear" w:color="auto" w:fill="D8D8D8" w:themeFill="background1" w:themeFillShade="D9"/>
            <w:vAlign w:val="center"/>
          </w:tcPr>
          <w:p w14:paraId="601F4C84">
            <w:pPr>
              <w:spacing w:line="360" w:lineRule="auto"/>
              <w:jc w:val="center"/>
              <w:rPr>
                <w:rFonts w:cs="宋体" w:asciiTheme="minorEastAsia" w:hAnsiTheme="minorEastAsia"/>
                <w:sz w:val="24"/>
              </w:rPr>
            </w:pPr>
            <w:r>
              <w:rPr>
                <w:rFonts w:hint="eastAsia" w:cs="宋体" w:asciiTheme="minorEastAsia" w:hAnsiTheme="minorEastAsia"/>
                <w:sz w:val="24"/>
                <w:szCs w:val="24"/>
              </w:rPr>
              <w:t>评审类型</w:t>
            </w:r>
          </w:p>
        </w:tc>
      </w:tr>
      <w:tr w14:paraId="0882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Align w:val="center"/>
          </w:tcPr>
          <w:p w14:paraId="72347ECA">
            <w:pPr>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1</w:t>
            </w:r>
          </w:p>
        </w:tc>
        <w:tc>
          <w:tcPr>
            <w:tcW w:w="798" w:type="dxa"/>
            <w:vAlign w:val="center"/>
          </w:tcPr>
          <w:p w14:paraId="544F9C44">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评标</w:t>
            </w:r>
          </w:p>
          <w:p w14:paraId="676CCBA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办法</w:t>
            </w:r>
          </w:p>
        </w:tc>
        <w:tc>
          <w:tcPr>
            <w:tcW w:w="1906" w:type="dxa"/>
            <w:vAlign w:val="center"/>
          </w:tcPr>
          <w:p w14:paraId="5241E13C">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中标候选人排序方法</w:t>
            </w:r>
          </w:p>
        </w:tc>
        <w:tc>
          <w:tcPr>
            <w:tcW w:w="6087" w:type="dxa"/>
            <w:vAlign w:val="center"/>
          </w:tcPr>
          <w:p w14:paraId="2CA2DC64">
            <w:pPr>
              <w:adjustRightInd w:val="0"/>
              <w:snapToGrid w:val="0"/>
              <w:rPr>
                <w:rFonts w:cs="宋体" w:asciiTheme="minorEastAsia" w:hAnsiTheme="minorEastAsia"/>
                <w:sz w:val="24"/>
                <w:szCs w:val="24"/>
              </w:rPr>
            </w:pPr>
            <w:r>
              <w:rPr>
                <w:rFonts w:hint="eastAsia" w:cs="宋体" w:asciiTheme="minorEastAsia" w:hAnsiTheme="minorEastAsia"/>
                <w:sz w:val="24"/>
                <w:szCs w:val="24"/>
              </w:rPr>
              <w:t>本项目评标办法为综合评分法，评标委员会推荐中标候选人方法按照投标文件满足招标文件全部实质性要求，且按照评审因素的量化指标评审得分最高的投标人为中标候选人。</w:t>
            </w:r>
          </w:p>
        </w:tc>
        <w:tc>
          <w:tcPr>
            <w:tcW w:w="1354" w:type="dxa"/>
            <w:vAlign w:val="center"/>
          </w:tcPr>
          <w:p w14:paraId="2B951328">
            <w:pPr>
              <w:spacing w:line="360" w:lineRule="auto"/>
              <w:jc w:val="center"/>
              <w:rPr>
                <w:rFonts w:cs="宋体" w:asciiTheme="minorEastAsia" w:hAnsiTheme="minorEastAsia"/>
                <w:sz w:val="24"/>
              </w:rPr>
            </w:pPr>
            <w:r>
              <w:rPr>
                <w:rFonts w:hint="eastAsia" w:cs="宋体" w:asciiTheme="minorEastAsia" w:hAnsiTheme="minorEastAsia"/>
                <w:sz w:val="24"/>
              </w:rPr>
              <w:t>/</w:t>
            </w:r>
          </w:p>
        </w:tc>
      </w:tr>
      <w:tr w14:paraId="3D373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restart"/>
            <w:vAlign w:val="center"/>
          </w:tcPr>
          <w:p w14:paraId="78B34166">
            <w:pPr>
              <w:adjustRightInd w:val="0"/>
              <w:snapToGrid w:val="0"/>
              <w:jc w:val="center"/>
              <w:rPr>
                <w:rFonts w:cs="宋体" w:asciiTheme="minorEastAsia" w:hAnsiTheme="minorEastAsia"/>
                <w:kern w:val="0"/>
                <w:sz w:val="24"/>
                <w:szCs w:val="24"/>
              </w:rPr>
            </w:pPr>
            <w:r>
              <w:rPr>
                <w:rFonts w:hint="eastAsia" w:cs="宋体" w:asciiTheme="minorEastAsia" w:hAnsiTheme="minorEastAsia"/>
                <w:kern w:val="0"/>
                <w:sz w:val="24"/>
                <w:szCs w:val="24"/>
              </w:rPr>
              <w:t>2.1</w:t>
            </w:r>
          </w:p>
        </w:tc>
        <w:tc>
          <w:tcPr>
            <w:tcW w:w="798" w:type="dxa"/>
            <w:vMerge w:val="restart"/>
            <w:vAlign w:val="center"/>
          </w:tcPr>
          <w:p w14:paraId="62DB3C3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符合</w:t>
            </w:r>
          </w:p>
          <w:p w14:paraId="4FAF81F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性审</w:t>
            </w:r>
          </w:p>
          <w:p w14:paraId="1BA0F38A">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查</w:t>
            </w:r>
          </w:p>
        </w:tc>
        <w:tc>
          <w:tcPr>
            <w:tcW w:w="1906" w:type="dxa"/>
            <w:vAlign w:val="center"/>
          </w:tcPr>
          <w:p w14:paraId="250E17E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46040C34">
            <w:pPr>
              <w:adjustRightInd w:val="0"/>
              <w:snapToGrid w:val="0"/>
              <w:rPr>
                <w:rFonts w:cs="宋体" w:asciiTheme="minorEastAsia" w:hAnsiTheme="minorEastAsia"/>
                <w:sz w:val="24"/>
                <w:szCs w:val="24"/>
              </w:rPr>
            </w:pPr>
            <w:r>
              <w:rPr>
                <w:rFonts w:hint="eastAsia" w:cs="宋体" w:asciiTheme="minorEastAsia" w:hAnsiTheme="minorEastAsia"/>
                <w:sz w:val="24"/>
                <w:szCs w:val="24"/>
              </w:rPr>
              <w:t>投标文件（逐页盖章）未按招标文件要求签署、盖章的；</w:t>
            </w:r>
          </w:p>
        </w:tc>
        <w:tc>
          <w:tcPr>
            <w:tcW w:w="1354" w:type="dxa"/>
            <w:vAlign w:val="center"/>
          </w:tcPr>
          <w:p w14:paraId="4A31F1C3">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3D838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5769F3C2">
            <w:pPr>
              <w:adjustRightInd w:val="0"/>
              <w:snapToGrid w:val="0"/>
              <w:jc w:val="center"/>
              <w:rPr>
                <w:rFonts w:cs="宋体" w:asciiTheme="minorEastAsia" w:hAnsiTheme="minorEastAsia"/>
                <w:kern w:val="0"/>
                <w:sz w:val="24"/>
                <w:szCs w:val="24"/>
              </w:rPr>
            </w:pPr>
          </w:p>
        </w:tc>
        <w:tc>
          <w:tcPr>
            <w:tcW w:w="798" w:type="dxa"/>
            <w:vMerge w:val="continue"/>
            <w:vAlign w:val="center"/>
          </w:tcPr>
          <w:p w14:paraId="256E55E5">
            <w:pPr>
              <w:adjustRightInd w:val="0"/>
              <w:snapToGrid w:val="0"/>
              <w:jc w:val="center"/>
              <w:rPr>
                <w:rFonts w:cs="宋体" w:asciiTheme="minorEastAsia" w:hAnsiTheme="minorEastAsia"/>
                <w:sz w:val="24"/>
                <w:szCs w:val="24"/>
              </w:rPr>
            </w:pPr>
          </w:p>
        </w:tc>
        <w:tc>
          <w:tcPr>
            <w:tcW w:w="1906" w:type="dxa"/>
            <w:vAlign w:val="center"/>
          </w:tcPr>
          <w:p w14:paraId="20914DF9">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6E5DFA6F">
            <w:pPr>
              <w:adjustRightInd w:val="0"/>
              <w:snapToGrid w:val="0"/>
              <w:rPr>
                <w:rFonts w:cs="宋体" w:asciiTheme="minorEastAsia" w:hAnsiTheme="minorEastAsia"/>
                <w:sz w:val="24"/>
                <w:szCs w:val="24"/>
              </w:rPr>
            </w:pPr>
            <w:r>
              <w:rPr>
                <w:rFonts w:hint="eastAsia" w:cs="宋体" w:asciiTheme="minorEastAsia" w:hAnsiTheme="minorEastAsia"/>
                <w:sz w:val="24"/>
                <w:szCs w:val="24"/>
              </w:rPr>
              <w:t>投标文件内容真实，未提供虚假证明文件</w:t>
            </w:r>
            <w:r>
              <w:rPr>
                <w:rFonts w:hint="eastAsia" w:cs="宋体" w:asciiTheme="minorEastAsia" w:hAnsiTheme="minorEastAsia"/>
                <w:sz w:val="24"/>
                <w:szCs w:val="24"/>
                <w:lang w:eastAsia="zh-CN"/>
              </w:rPr>
              <w:t>、</w:t>
            </w:r>
            <w:r>
              <w:rPr>
                <w:rFonts w:hint="eastAsia" w:cs="宋体" w:asciiTheme="minorEastAsia" w:hAnsiTheme="minorEastAsia"/>
                <w:sz w:val="24"/>
                <w:szCs w:val="24"/>
              </w:rPr>
              <w:t>虚假技术参数的；</w:t>
            </w:r>
          </w:p>
        </w:tc>
        <w:tc>
          <w:tcPr>
            <w:tcW w:w="1354" w:type="dxa"/>
            <w:vAlign w:val="center"/>
          </w:tcPr>
          <w:p w14:paraId="2407A397">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52864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060811F8">
            <w:pPr>
              <w:adjustRightInd w:val="0"/>
              <w:snapToGrid w:val="0"/>
              <w:jc w:val="center"/>
              <w:rPr>
                <w:rFonts w:cs="宋体" w:asciiTheme="minorEastAsia" w:hAnsiTheme="minorEastAsia"/>
                <w:kern w:val="0"/>
                <w:sz w:val="24"/>
                <w:szCs w:val="24"/>
              </w:rPr>
            </w:pPr>
          </w:p>
        </w:tc>
        <w:tc>
          <w:tcPr>
            <w:tcW w:w="798" w:type="dxa"/>
            <w:vMerge w:val="continue"/>
            <w:vAlign w:val="center"/>
          </w:tcPr>
          <w:p w14:paraId="25E60463">
            <w:pPr>
              <w:adjustRightInd w:val="0"/>
              <w:snapToGrid w:val="0"/>
              <w:jc w:val="center"/>
              <w:rPr>
                <w:rFonts w:cs="宋体" w:asciiTheme="minorEastAsia" w:hAnsiTheme="minorEastAsia"/>
                <w:sz w:val="24"/>
                <w:szCs w:val="24"/>
              </w:rPr>
            </w:pPr>
          </w:p>
        </w:tc>
        <w:tc>
          <w:tcPr>
            <w:tcW w:w="1906" w:type="dxa"/>
            <w:vAlign w:val="center"/>
          </w:tcPr>
          <w:p w14:paraId="1E669C2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2C0AEDBE">
            <w:pPr>
              <w:adjustRightInd w:val="0"/>
              <w:snapToGrid w:val="0"/>
              <w:rPr>
                <w:rFonts w:cs="宋体" w:asciiTheme="minorEastAsia" w:hAnsiTheme="minorEastAsia"/>
                <w:sz w:val="24"/>
                <w:szCs w:val="24"/>
              </w:rPr>
            </w:pPr>
            <w:r>
              <w:rPr>
                <w:rFonts w:hint="eastAsia" w:cs="宋体" w:asciiTheme="minorEastAsia" w:hAnsiTheme="minorEastAsia"/>
                <w:sz w:val="24"/>
                <w:szCs w:val="24"/>
              </w:rPr>
              <w:t>报价超过招标文件中规定的预算金额或最高限价的；</w:t>
            </w:r>
          </w:p>
        </w:tc>
        <w:tc>
          <w:tcPr>
            <w:tcW w:w="1354" w:type="dxa"/>
            <w:vAlign w:val="center"/>
          </w:tcPr>
          <w:p w14:paraId="4AC77C13">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726C5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57A4E32C">
            <w:pPr>
              <w:adjustRightInd w:val="0"/>
              <w:snapToGrid w:val="0"/>
              <w:jc w:val="center"/>
              <w:rPr>
                <w:rFonts w:cs="宋体" w:asciiTheme="minorEastAsia" w:hAnsiTheme="minorEastAsia"/>
                <w:kern w:val="0"/>
                <w:sz w:val="24"/>
                <w:szCs w:val="24"/>
              </w:rPr>
            </w:pPr>
          </w:p>
        </w:tc>
        <w:tc>
          <w:tcPr>
            <w:tcW w:w="798" w:type="dxa"/>
            <w:vMerge w:val="continue"/>
            <w:vAlign w:val="center"/>
          </w:tcPr>
          <w:p w14:paraId="269EF023">
            <w:pPr>
              <w:adjustRightInd w:val="0"/>
              <w:snapToGrid w:val="0"/>
              <w:jc w:val="center"/>
              <w:rPr>
                <w:rFonts w:cs="宋体" w:asciiTheme="minorEastAsia" w:hAnsiTheme="minorEastAsia"/>
                <w:sz w:val="24"/>
                <w:szCs w:val="24"/>
              </w:rPr>
            </w:pPr>
          </w:p>
        </w:tc>
        <w:tc>
          <w:tcPr>
            <w:tcW w:w="1906" w:type="dxa"/>
            <w:vAlign w:val="center"/>
          </w:tcPr>
          <w:p w14:paraId="56E3102A">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27F0861F">
            <w:pPr>
              <w:adjustRightInd w:val="0"/>
              <w:snapToGrid w:val="0"/>
              <w:rPr>
                <w:rFonts w:cs="宋体" w:asciiTheme="minorEastAsia" w:hAnsiTheme="minorEastAsia"/>
                <w:sz w:val="24"/>
                <w:szCs w:val="24"/>
              </w:rPr>
            </w:pPr>
            <w:r>
              <w:rPr>
                <w:rFonts w:hint="eastAsia" w:cs="宋体" w:asciiTheme="minorEastAsia" w:hAnsiTheme="minorEastAsia"/>
                <w:sz w:val="24"/>
                <w:szCs w:val="24"/>
              </w:rPr>
              <w:t>投标文件含有采购人不能接受的附加条件的；</w:t>
            </w:r>
          </w:p>
        </w:tc>
        <w:tc>
          <w:tcPr>
            <w:tcW w:w="1354" w:type="dxa"/>
            <w:vAlign w:val="center"/>
          </w:tcPr>
          <w:p w14:paraId="0E7E32AD">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71530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140CDBF2">
            <w:pPr>
              <w:adjustRightInd w:val="0"/>
              <w:snapToGrid w:val="0"/>
              <w:jc w:val="center"/>
              <w:rPr>
                <w:rFonts w:cs="宋体" w:asciiTheme="minorEastAsia" w:hAnsiTheme="minorEastAsia"/>
                <w:kern w:val="0"/>
                <w:sz w:val="24"/>
                <w:szCs w:val="24"/>
              </w:rPr>
            </w:pPr>
          </w:p>
        </w:tc>
        <w:tc>
          <w:tcPr>
            <w:tcW w:w="798" w:type="dxa"/>
            <w:vMerge w:val="continue"/>
            <w:vAlign w:val="center"/>
          </w:tcPr>
          <w:p w14:paraId="637F2AB7">
            <w:pPr>
              <w:adjustRightInd w:val="0"/>
              <w:snapToGrid w:val="0"/>
              <w:jc w:val="center"/>
              <w:rPr>
                <w:rFonts w:cs="宋体" w:asciiTheme="minorEastAsia" w:hAnsiTheme="minorEastAsia"/>
                <w:sz w:val="24"/>
                <w:szCs w:val="24"/>
              </w:rPr>
            </w:pPr>
          </w:p>
        </w:tc>
        <w:tc>
          <w:tcPr>
            <w:tcW w:w="1906" w:type="dxa"/>
            <w:vAlign w:val="center"/>
          </w:tcPr>
          <w:p w14:paraId="14BBF83E">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w:t>
            </w:r>
          </w:p>
        </w:tc>
        <w:tc>
          <w:tcPr>
            <w:tcW w:w="6087" w:type="dxa"/>
            <w:vAlign w:val="center"/>
          </w:tcPr>
          <w:p w14:paraId="5FCDC6B4">
            <w:pPr>
              <w:adjustRightInd w:val="0"/>
              <w:snapToGrid w:val="0"/>
              <w:rPr>
                <w:rFonts w:cs="宋体" w:asciiTheme="minorEastAsia" w:hAnsiTheme="minorEastAsia"/>
                <w:sz w:val="24"/>
                <w:szCs w:val="24"/>
              </w:rPr>
            </w:pPr>
            <w:r>
              <w:rPr>
                <w:rFonts w:hint="eastAsia" w:cs="宋体" w:asciiTheme="minorEastAsia" w:hAnsiTheme="minorEastAsia"/>
                <w:sz w:val="24"/>
                <w:szCs w:val="24"/>
              </w:rPr>
              <w:t>法律、法规和招标文件规定的其他无效情形；</w:t>
            </w:r>
          </w:p>
        </w:tc>
        <w:tc>
          <w:tcPr>
            <w:tcW w:w="1354" w:type="dxa"/>
            <w:vAlign w:val="center"/>
          </w:tcPr>
          <w:p w14:paraId="7F3D9E5C">
            <w:pPr>
              <w:spacing w:line="360" w:lineRule="auto"/>
              <w:jc w:val="center"/>
              <w:rPr>
                <w:rFonts w:cs="宋体" w:asciiTheme="minorEastAsia" w:hAnsiTheme="minorEastAsia"/>
                <w:sz w:val="24"/>
                <w:szCs w:val="24"/>
              </w:rPr>
            </w:pPr>
            <w:r>
              <w:rPr>
                <w:rFonts w:hint="eastAsia" w:cs="宋体" w:asciiTheme="minorEastAsia" w:hAnsiTheme="minorEastAsia"/>
                <w:sz w:val="24"/>
                <w:szCs w:val="24"/>
              </w:rPr>
              <w:t>重要指标</w:t>
            </w:r>
          </w:p>
        </w:tc>
      </w:tr>
      <w:tr w14:paraId="12A9B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412" w:type="dxa"/>
            <w:gridSpan w:val="2"/>
            <w:vAlign w:val="center"/>
          </w:tcPr>
          <w:p w14:paraId="6E50DB15">
            <w:pPr>
              <w:adjustRightInd w:val="0"/>
              <w:snapToGrid w:val="0"/>
              <w:jc w:val="center"/>
              <w:rPr>
                <w:rFonts w:cs="宋体" w:asciiTheme="minorEastAsia" w:hAnsiTheme="minorEastAsia"/>
                <w:sz w:val="24"/>
                <w:szCs w:val="24"/>
              </w:rPr>
            </w:pPr>
            <w:r>
              <w:rPr>
                <w:rFonts w:hint="eastAsia" w:cs="宋体" w:asciiTheme="minorEastAsia" w:hAnsiTheme="minorEastAsia"/>
                <w:kern w:val="0"/>
                <w:sz w:val="24"/>
                <w:szCs w:val="24"/>
              </w:rPr>
              <w:t>2.2.1</w:t>
            </w:r>
          </w:p>
        </w:tc>
        <w:tc>
          <w:tcPr>
            <w:tcW w:w="1906" w:type="dxa"/>
            <w:vAlign w:val="center"/>
          </w:tcPr>
          <w:p w14:paraId="0DD4E8B0">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分值构成</w:t>
            </w:r>
          </w:p>
        </w:tc>
        <w:tc>
          <w:tcPr>
            <w:tcW w:w="6087" w:type="dxa"/>
            <w:vAlign w:val="center"/>
          </w:tcPr>
          <w:p w14:paraId="778240E3">
            <w:pPr>
              <w:adjustRightInd w:val="0"/>
              <w:snapToGrid w:val="0"/>
              <w:jc w:val="left"/>
              <w:rPr>
                <w:rFonts w:hint="eastAsia" w:cs="宋体" w:asciiTheme="minorEastAsia" w:hAnsiTheme="minorEastAsia"/>
                <w:color w:val="auto"/>
                <w:sz w:val="24"/>
                <w:szCs w:val="24"/>
              </w:rPr>
            </w:pPr>
            <w:r>
              <w:rPr>
                <w:rFonts w:hint="eastAsia" w:cs="宋体" w:asciiTheme="minorEastAsia" w:hAnsiTheme="minorEastAsia"/>
                <w:color w:val="auto"/>
                <w:sz w:val="24"/>
                <w:szCs w:val="24"/>
              </w:rPr>
              <w:t>商务部分：</w:t>
            </w:r>
            <w:r>
              <w:rPr>
                <w:rFonts w:hint="eastAsia" w:cs="宋体" w:asciiTheme="minorEastAsia" w:hAnsiTheme="minorEastAsia"/>
                <w:color w:val="auto"/>
                <w:sz w:val="24"/>
                <w:szCs w:val="24"/>
                <w:lang w:val="en-US" w:eastAsia="zh-CN"/>
              </w:rPr>
              <w:t>10</w:t>
            </w:r>
            <w:r>
              <w:rPr>
                <w:rFonts w:hint="eastAsia" w:cs="宋体" w:asciiTheme="minorEastAsia" w:hAnsiTheme="minorEastAsia"/>
                <w:color w:val="auto"/>
                <w:sz w:val="24"/>
                <w:szCs w:val="24"/>
              </w:rPr>
              <w:t>分</w:t>
            </w:r>
          </w:p>
          <w:p w14:paraId="5B368C36">
            <w:pPr>
              <w:adjustRightInd w:val="0"/>
              <w:snapToGrid w:val="0"/>
              <w:jc w:val="left"/>
              <w:rPr>
                <w:rFonts w:hint="eastAsia" w:cs="宋体" w:asciiTheme="minorEastAsia" w:hAnsiTheme="minorEastAsia"/>
                <w:color w:val="auto"/>
                <w:sz w:val="24"/>
                <w:szCs w:val="24"/>
              </w:rPr>
            </w:pPr>
            <w:r>
              <w:rPr>
                <w:rFonts w:hint="eastAsia" w:cs="宋体" w:asciiTheme="minorEastAsia" w:hAnsiTheme="minorEastAsia"/>
                <w:color w:val="auto"/>
                <w:sz w:val="24"/>
                <w:szCs w:val="24"/>
                <w:lang w:val="en-US" w:eastAsia="zh-CN"/>
              </w:rPr>
              <w:t>团队</w:t>
            </w:r>
            <w:r>
              <w:rPr>
                <w:rFonts w:hint="eastAsia" w:cs="宋体" w:asciiTheme="minorEastAsia" w:hAnsiTheme="minorEastAsia"/>
                <w:color w:val="auto"/>
                <w:sz w:val="24"/>
                <w:szCs w:val="24"/>
              </w:rPr>
              <w:t>部分：</w:t>
            </w:r>
            <w:r>
              <w:rPr>
                <w:rFonts w:hint="eastAsia" w:cs="宋体" w:asciiTheme="minorEastAsia" w:hAnsiTheme="minorEastAsia"/>
                <w:color w:val="auto"/>
                <w:sz w:val="24"/>
                <w:szCs w:val="24"/>
                <w:lang w:val="en-US" w:eastAsia="zh-CN"/>
              </w:rPr>
              <w:t>10</w:t>
            </w:r>
            <w:r>
              <w:rPr>
                <w:rFonts w:hint="eastAsia" w:cs="宋体" w:asciiTheme="minorEastAsia" w:hAnsiTheme="minorEastAsia"/>
                <w:color w:val="auto"/>
                <w:sz w:val="24"/>
                <w:szCs w:val="24"/>
              </w:rPr>
              <w:t>分</w:t>
            </w:r>
          </w:p>
          <w:p w14:paraId="701B3ABA">
            <w:pPr>
              <w:adjustRightInd w:val="0"/>
              <w:snapToGrid w:val="0"/>
              <w:jc w:val="left"/>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适配度部分：70分</w:t>
            </w:r>
          </w:p>
          <w:p w14:paraId="175A1DAC">
            <w:pPr>
              <w:adjustRightInd w:val="0"/>
              <w:snapToGrid w:val="0"/>
              <w:jc w:val="left"/>
              <w:rPr>
                <w:rFonts w:hint="default" w:cs="宋体" w:asciiTheme="minorEastAsia" w:hAnsiTheme="minorEastAsia" w:eastAsiaTheme="minorEastAsia"/>
                <w:sz w:val="24"/>
                <w:szCs w:val="24"/>
                <w:lang w:val="en-US" w:eastAsia="zh-CN"/>
              </w:rPr>
            </w:pPr>
            <w:r>
              <w:rPr>
                <w:rFonts w:hint="eastAsia" w:cs="宋体" w:asciiTheme="minorEastAsia" w:hAnsiTheme="minorEastAsia"/>
                <w:color w:val="auto"/>
                <w:sz w:val="24"/>
                <w:szCs w:val="24"/>
                <w:lang w:val="en-US" w:eastAsia="zh-CN"/>
              </w:rPr>
              <w:t>投标报价：10分</w:t>
            </w:r>
          </w:p>
        </w:tc>
        <w:tc>
          <w:tcPr>
            <w:tcW w:w="1354" w:type="dxa"/>
            <w:vAlign w:val="center"/>
          </w:tcPr>
          <w:p w14:paraId="3FC83995">
            <w:pPr>
              <w:spacing w:line="360" w:lineRule="auto"/>
              <w:ind w:left="600" w:hanging="600" w:hangingChars="250"/>
              <w:jc w:val="center"/>
              <w:rPr>
                <w:rFonts w:hint="eastAsia" w:cs="宋体" w:asciiTheme="minorEastAsia" w:hAnsiTheme="minorEastAsia"/>
                <w:sz w:val="24"/>
              </w:rPr>
            </w:pPr>
            <w:r>
              <w:rPr>
                <w:rFonts w:hint="eastAsia" w:cs="宋体" w:asciiTheme="minorEastAsia" w:hAnsiTheme="minorEastAsia"/>
                <w:sz w:val="24"/>
              </w:rPr>
              <w:t>总分：</w:t>
            </w:r>
          </w:p>
          <w:p w14:paraId="68358079">
            <w:pPr>
              <w:spacing w:line="360" w:lineRule="auto"/>
              <w:ind w:left="600" w:hanging="600" w:hangingChars="250"/>
              <w:jc w:val="center"/>
              <w:rPr>
                <w:rFonts w:cs="宋体" w:asciiTheme="minorEastAsia" w:hAnsiTheme="minorEastAsia"/>
                <w:sz w:val="24"/>
              </w:rPr>
            </w:pPr>
            <w:r>
              <w:rPr>
                <w:rFonts w:hint="eastAsia" w:cs="宋体" w:asciiTheme="minorEastAsia" w:hAnsiTheme="minorEastAsia"/>
                <w:sz w:val="24"/>
              </w:rPr>
              <w:t>100分</w:t>
            </w:r>
          </w:p>
        </w:tc>
      </w:tr>
    </w:tbl>
    <w:p w14:paraId="03E9E530">
      <w:pPr>
        <w:spacing w:line="360" w:lineRule="auto"/>
        <w:ind w:firstLine="424" w:firstLineChars="177"/>
        <w:jc w:val="left"/>
        <w:rPr>
          <w:rFonts w:asciiTheme="minorEastAsia" w:hAnsiTheme="minorEastAsia"/>
          <w:sz w:val="24"/>
          <w:szCs w:val="24"/>
        </w:rPr>
      </w:pPr>
    </w:p>
    <w:tbl>
      <w:tblPr>
        <w:tblStyle w:val="2"/>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907"/>
        <w:gridCol w:w="6086"/>
        <w:gridCol w:w="1354"/>
      </w:tblGrid>
      <w:tr w14:paraId="46AD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shd w:val="clear" w:color="auto" w:fill="D8D8D8" w:themeFill="background1" w:themeFillShade="D9"/>
            <w:vAlign w:val="center"/>
          </w:tcPr>
          <w:p w14:paraId="53FA8098">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条款号</w:t>
            </w:r>
          </w:p>
        </w:tc>
        <w:tc>
          <w:tcPr>
            <w:tcW w:w="1907" w:type="dxa"/>
            <w:shd w:val="clear" w:color="auto" w:fill="D8D8D8" w:themeFill="background1" w:themeFillShade="D9"/>
            <w:vAlign w:val="center"/>
          </w:tcPr>
          <w:p w14:paraId="5EB4EBAF">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类别</w:t>
            </w:r>
          </w:p>
        </w:tc>
        <w:tc>
          <w:tcPr>
            <w:tcW w:w="6086" w:type="dxa"/>
            <w:shd w:val="clear" w:color="auto" w:fill="D8D8D8" w:themeFill="background1" w:themeFillShade="D9"/>
            <w:vAlign w:val="center"/>
          </w:tcPr>
          <w:p w14:paraId="3C2A5622">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评分标准</w:t>
            </w:r>
          </w:p>
        </w:tc>
        <w:tc>
          <w:tcPr>
            <w:tcW w:w="1354" w:type="dxa"/>
            <w:shd w:val="clear" w:color="auto" w:fill="D8D8D8" w:themeFill="background1" w:themeFillShade="D9"/>
            <w:vAlign w:val="center"/>
          </w:tcPr>
          <w:p w14:paraId="24C13F57">
            <w:pPr>
              <w:spacing w:line="360" w:lineRule="auto"/>
              <w:jc w:val="center"/>
              <w:rPr>
                <w:rFonts w:cs="宋体" w:asciiTheme="minorEastAsia" w:hAnsiTheme="minorEastAsia"/>
                <w:sz w:val="24"/>
              </w:rPr>
            </w:pPr>
            <w:r>
              <w:rPr>
                <w:rFonts w:hint="eastAsia" w:cs="宋体" w:asciiTheme="minorEastAsia" w:hAnsiTheme="minorEastAsia"/>
                <w:sz w:val="24"/>
                <w:szCs w:val="24"/>
              </w:rPr>
              <w:t>分值</w:t>
            </w:r>
          </w:p>
        </w:tc>
      </w:tr>
      <w:tr w14:paraId="1B2A8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restart"/>
            <w:vAlign w:val="center"/>
          </w:tcPr>
          <w:p w14:paraId="2F2678AD">
            <w:pPr>
              <w:adjustRightInd w:val="0"/>
              <w:snapToGrid w:val="0"/>
              <w:jc w:val="center"/>
              <w:rPr>
                <w:rFonts w:hint="eastAsia" w:cs="宋体" w:asciiTheme="minorEastAsia" w:hAnsiTheme="minorEastAsia" w:eastAsiaTheme="minorEastAsia"/>
                <w:sz w:val="24"/>
                <w:szCs w:val="24"/>
                <w:lang w:eastAsia="zh-CN"/>
              </w:rPr>
            </w:pPr>
            <w:r>
              <w:rPr>
                <w:rFonts w:hint="eastAsia" w:cs="宋体" w:asciiTheme="minorEastAsia" w:hAnsiTheme="minorEastAsia"/>
                <w:kern w:val="0"/>
                <w:sz w:val="24"/>
                <w:szCs w:val="24"/>
              </w:rPr>
              <w:t>2.2.</w:t>
            </w:r>
            <w:r>
              <w:rPr>
                <w:rFonts w:hint="eastAsia" w:cs="宋体" w:asciiTheme="minorEastAsia" w:hAnsiTheme="minorEastAsia"/>
                <w:kern w:val="0"/>
                <w:sz w:val="24"/>
                <w:szCs w:val="24"/>
                <w:lang w:val="en-US" w:eastAsia="zh-CN"/>
              </w:rPr>
              <w:t>2</w:t>
            </w:r>
          </w:p>
        </w:tc>
        <w:tc>
          <w:tcPr>
            <w:tcW w:w="1907" w:type="dxa"/>
            <w:vMerge w:val="restart"/>
            <w:vAlign w:val="center"/>
          </w:tcPr>
          <w:p w14:paraId="53E1D0A1">
            <w:pPr>
              <w:adjustRightInd w:val="0"/>
              <w:snapToGrid w:val="0"/>
              <w:jc w:val="center"/>
              <w:rPr>
                <w:rFonts w:cs="宋体" w:asciiTheme="minorEastAsia" w:hAnsiTheme="minorEastAsia"/>
                <w:sz w:val="24"/>
                <w:szCs w:val="24"/>
              </w:rPr>
            </w:pPr>
            <w:r>
              <w:rPr>
                <w:rFonts w:hint="eastAsia" w:cs="宋体" w:asciiTheme="minorEastAsia" w:hAnsiTheme="minorEastAsia"/>
                <w:sz w:val="24"/>
                <w:szCs w:val="24"/>
              </w:rPr>
              <w:t>商务评分标准</w:t>
            </w:r>
          </w:p>
        </w:tc>
        <w:tc>
          <w:tcPr>
            <w:tcW w:w="6086" w:type="dxa"/>
            <w:vAlign w:val="center"/>
          </w:tcPr>
          <w:p w14:paraId="717BD459">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根据供应商提供的近年（2022年至投标截止日）承担过的类似项目业绩进行评价，有一项业绩得2分，最高得4分。</w:t>
            </w:r>
          </w:p>
          <w:p w14:paraId="2E608AE3">
            <w:pPr>
              <w:numPr>
                <w:ilvl w:val="0"/>
                <w:numId w:val="0"/>
              </w:numPr>
              <w:adjustRightInd w:val="0"/>
              <w:snapToGrid w:val="0"/>
              <w:ind w:leftChars="0"/>
              <w:rPr>
                <w:rFonts w:hint="eastAsia" w:cs="宋体" w:asciiTheme="minorEastAsia" w:hAnsiTheme="minorEastAsia"/>
                <w:sz w:val="24"/>
                <w:szCs w:val="24"/>
              </w:rPr>
            </w:pPr>
          </w:p>
          <w:p w14:paraId="6A61C015">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注：</w:t>
            </w:r>
          </w:p>
          <w:p w14:paraId="2F0346B6">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(1)类似项目业绩指与本项目类似的抖音平台旅游行业合作，并且其项目预算相当或高于本项目，并带来成果。</w:t>
            </w:r>
          </w:p>
          <w:p w14:paraId="2A97AA43">
            <w:pPr>
              <w:numPr>
                <w:ilvl w:val="0"/>
                <w:numId w:val="0"/>
              </w:numPr>
              <w:adjustRightInd w:val="0"/>
              <w:snapToGrid w:val="0"/>
              <w:ind w:leftChars="0"/>
              <w:rPr>
                <w:rFonts w:hint="eastAsia" w:cs="宋体" w:asciiTheme="minorEastAsia" w:hAnsiTheme="minorEastAsia"/>
                <w:sz w:val="24"/>
                <w:szCs w:val="24"/>
              </w:rPr>
            </w:pPr>
          </w:p>
          <w:p w14:paraId="71314AC7">
            <w:pPr>
              <w:numPr>
                <w:ilvl w:val="0"/>
                <w:numId w:val="0"/>
              </w:numPr>
              <w:adjustRightInd w:val="0"/>
              <w:snapToGrid w:val="0"/>
              <w:ind w:leftChars="0"/>
              <w:rPr>
                <w:rFonts w:cs="宋体" w:asciiTheme="minorEastAsia" w:hAnsiTheme="minorEastAsia"/>
                <w:sz w:val="24"/>
                <w:szCs w:val="24"/>
              </w:rPr>
            </w:pPr>
            <w:r>
              <w:rPr>
                <w:rFonts w:hint="eastAsia" w:cs="宋体" w:asciiTheme="minorEastAsia" w:hAnsiTheme="minorEastAsia"/>
                <w:sz w:val="24"/>
                <w:szCs w:val="24"/>
              </w:rPr>
              <w:t>(2)供应商需提供采购合同(含商家首页、服务内容、金额数量页、签字盖章页)复印件，敏感信息可打码，并能提供对应项目的策划方案，否则业绩不予认可。</w:t>
            </w:r>
          </w:p>
        </w:tc>
        <w:tc>
          <w:tcPr>
            <w:tcW w:w="1354" w:type="dxa"/>
            <w:vAlign w:val="center"/>
          </w:tcPr>
          <w:p w14:paraId="607ED0BA">
            <w:pPr>
              <w:spacing w:line="360" w:lineRule="auto"/>
              <w:jc w:val="center"/>
              <w:rPr>
                <w:rFonts w:hint="default" w:cs="宋体" w:asciiTheme="minorEastAsia" w:hAnsiTheme="minorEastAsia" w:eastAsiaTheme="minorEastAsia"/>
                <w:sz w:val="24"/>
                <w:lang w:val="en-US" w:eastAsia="zh-CN"/>
              </w:rPr>
            </w:pPr>
            <w:r>
              <w:rPr>
                <w:rFonts w:hint="eastAsia" w:cs="宋体" w:asciiTheme="minorEastAsia" w:hAnsiTheme="minorEastAsia"/>
                <w:sz w:val="24"/>
                <w:lang w:val="en-US" w:eastAsia="zh-CN"/>
              </w:rPr>
              <w:t>4</w:t>
            </w:r>
          </w:p>
        </w:tc>
      </w:tr>
      <w:tr w14:paraId="6B4C3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416D08B9">
            <w:pPr>
              <w:adjustRightInd w:val="0"/>
              <w:snapToGrid w:val="0"/>
              <w:jc w:val="center"/>
              <w:rPr>
                <w:rFonts w:cs="宋体" w:asciiTheme="minorEastAsia" w:hAnsiTheme="minorEastAsia"/>
                <w:sz w:val="24"/>
                <w:szCs w:val="24"/>
              </w:rPr>
            </w:pPr>
          </w:p>
        </w:tc>
        <w:tc>
          <w:tcPr>
            <w:tcW w:w="1907" w:type="dxa"/>
            <w:vMerge w:val="continue"/>
            <w:vAlign w:val="center"/>
          </w:tcPr>
          <w:p w14:paraId="322B9303">
            <w:pPr>
              <w:adjustRightInd w:val="0"/>
              <w:snapToGrid w:val="0"/>
              <w:jc w:val="center"/>
              <w:rPr>
                <w:rFonts w:cs="宋体" w:asciiTheme="minorEastAsia" w:hAnsiTheme="minorEastAsia"/>
                <w:sz w:val="24"/>
                <w:szCs w:val="24"/>
              </w:rPr>
            </w:pPr>
          </w:p>
        </w:tc>
        <w:tc>
          <w:tcPr>
            <w:tcW w:w="6086" w:type="dxa"/>
            <w:vAlign w:val="center"/>
          </w:tcPr>
          <w:p w14:paraId="62D47F9B">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①　企业注册资本及团队规模（0-2分）</w:t>
            </w:r>
          </w:p>
          <w:p w14:paraId="23E02D07">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良好（2分），一般情况（1分），较差（0分）；</w:t>
            </w:r>
          </w:p>
          <w:p w14:paraId="78A60BB2">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②　企业信誉及风险情况（0-2分）</w:t>
            </w:r>
          </w:p>
          <w:p w14:paraId="6B0A32F0">
            <w:pPr>
              <w:numPr>
                <w:ilvl w:val="0"/>
                <w:numId w:val="0"/>
              </w:numPr>
              <w:adjustRightInd w:val="0"/>
              <w:snapToGrid w:val="0"/>
              <w:ind w:leftChars="0"/>
              <w:rPr>
                <w:rFonts w:hint="default" w:cs="宋体" w:asciiTheme="minorEastAsia" w:hAnsiTheme="minorEastAsia"/>
                <w:sz w:val="24"/>
                <w:szCs w:val="24"/>
                <w:lang w:val="en-US"/>
              </w:rPr>
            </w:pPr>
            <w:r>
              <w:rPr>
                <w:rFonts w:hint="eastAsia" w:cs="宋体" w:asciiTheme="minorEastAsia" w:hAnsiTheme="minorEastAsia"/>
                <w:sz w:val="24"/>
                <w:szCs w:val="24"/>
              </w:rPr>
              <w:t>良好（2分），一般情况（1分），较差（0分）。</w:t>
            </w:r>
          </w:p>
        </w:tc>
        <w:tc>
          <w:tcPr>
            <w:tcW w:w="1354" w:type="dxa"/>
            <w:vAlign w:val="center"/>
          </w:tcPr>
          <w:p w14:paraId="233E2FD4">
            <w:pPr>
              <w:spacing w:line="360" w:lineRule="auto"/>
              <w:jc w:val="center"/>
              <w:rPr>
                <w:rFonts w:hint="default" w:cs="宋体" w:asciiTheme="minorEastAsia" w:hAnsiTheme="minorEastAsia" w:eastAsiaTheme="minorEastAsia"/>
                <w:sz w:val="24"/>
                <w:szCs w:val="24"/>
                <w:lang w:val="en-US" w:eastAsia="zh-CN"/>
              </w:rPr>
            </w:pPr>
            <w:r>
              <w:rPr>
                <w:rFonts w:hint="eastAsia" w:cs="宋体" w:asciiTheme="minorEastAsia" w:hAnsiTheme="minorEastAsia"/>
                <w:sz w:val="24"/>
                <w:szCs w:val="24"/>
                <w:lang w:val="en-US" w:eastAsia="zh-CN"/>
              </w:rPr>
              <w:t>4</w:t>
            </w:r>
          </w:p>
        </w:tc>
      </w:tr>
      <w:tr w14:paraId="2A78D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6B559CCA">
            <w:pPr>
              <w:adjustRightInd w:val="0"/>
              <w:snapToGrid w:val="0"/>
              <w:jc w:val="center"/>
              <w:rPr>
                <w:rFonts w:cs="宋体" w:asciiTheme="minorEastAsia" w:hAnsiTheme="minorEastAsia"/>
                <w:sz w:val="24"/>
                <w:szCs w:val="24"/>
              </w:rPr>
            </w:pPr>
          </w:p>
        </w:tc>
        <w:tc>
          <w:tcPr>
            <w:tcW w:w="1907" w:type="dxa"/>
            <w:vMerge w:val="continue"/>
            <w:vAlign w:val="center"/>
          </w:tcPr>
          <w:p w14:paraId="20FE099B">
            <w:pPr>
              <w:adjustRightInd w:val="0"/>
              <w:snapToGrid w:val="0"/>
              <w:jc w:val="center"/>
              <w:rPr>
                <w:rFonts w:cs="宋体" w:asciiTheme="minorEastAsia" w:hAnsiTheme="minorEastAsia"/>
                <w:sz w:val="24"/>
                <w:szCs w:val="24"/>
              </w:rPr>
            </w:pPr>
          </w:p>
        </w:tc>
        <w:tc>
          <w:tcPr>
            <w:tcW w:w="6086" w:type="dxa"/>
            <w:vAlign w:val="center"/>
          </w:tcPr>
          <w:p w14:paraId="783A7154">
            <w:pPr>
              <w:numPr>
                <w:ilvl w:val="0"/>
                <w:numId w:val="0"/>
              </w:numPr>
              <w:adjustRightInd w:val="0"/>
              <w:snapToGrid w:val="0"/>
              <w:ind w:leftChars="0"/>
              <w:rPr>
                <w:rFonts w:hint="eastAsia" w:cs="宋体" w:asciiTheme="minorEastAsia" w:hAnsiTheme="minorEastAsia"/>
                <w:sz w:val="24"/>
                <w:szCs w:val="24"/>
              </w:rPr>
            </w:pPr>
            <w:r>
              <w:rPr>
                <w:rFonts w:hint="eastAsia" w:cs="宋体" w:asciiTheme="minorEastAsia" w:hAnsiTheme="minorEastAsia"/>
                <w:sz w:val="24"/>
                <w:szCs w:val="24"/>
              </w:rPr>
              <w:t>供应商为抖音授权代理商，符合要求（2分），不符合要求得（1分）</w:t>
            </w:r>
          </w:p>
        </w:tc>
        <w:tc>
          <w:tcPr>
            <w:tcW w:w="1354" w:type="dxa"/>
            <w:vAlign w:val="center"/>
          </w:tcPr>
          <w:p w14:paraId="18644CFF">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2</w:t>
            </w:r>
          </w:p>
        </w:tc>
      </w:tr>
      <w:tr w14:paraId="27988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jc w:val="center"/>
        </w:trPr>
        <w:tc>
          <w:tcPr>
            <w:tcW w:w="1412" w:type="dxa"/>
            <w:vMerge w:val="restart"/>
            <w:vAlign w:val="center"/>
          </w:tcPr>
          <w:p w14:paraId="6FF02980">
            <w:pPr>
              <w:adjustRightInd w:val="0"/>
              <w:snapToGrid w:val="0"/>
              <w:jc w:val="center"/>
              <w:rPr>
                <w:rFonts w:hint="eastAsia" w:cs="宋体" w:asciiTheme="minorEastAsia" w:hAnsiTheme="minorEastAsia"/>
                <w:kern w:val="0"/>
                <w:sz w:val="24"/>
                <w:szCs w:val="24"/>
                <w:lang w:eastAsia="zh-CN"/>
              </w:rPr>
            </w:pPr>
            <w:r>
              <w:rPr>
                <w:rFonts w:hint="eastAsia" w:cs="宋体" w:asciiTheme="minorEastAsia" w:hAnsiTheme="minorEastAsia"/>
                <w:kern w:val="0"/>
                <w:sz w:val="24"/>
                <w:szCs w:val="24"/>
                <w:lang w:eastAsia="zh-CN"/>
              </w:rPr>
              <w:t>2.2.</w:t>
            </w:r>
            <w:r>
              <w:rPr>
                <w:rFonts w:hint="eastAsia" w:cs="宋体" w:asciiTheme="minorEastAsia" w:hAnsiTheme="minorEastAsia"/>
                <w:kern w:val="0"/>
                <w:sz w:val="24"/>
                <w:szCs w:val="24"/>
                <w:lang w:val="en-US" w:eastAsia="zh-CN"/>
              </w:rPr>
              <w:t>3</w:t>
            </w:r>
          </w:p>
        </w:tc>
        <w:tc>
          <w:tcPr>
            <w:tcW w:w="1907" w:type="dxa"/>
            <w:vMerge w:val="restart"/>
            <w:vAlign w:val="center"/>
          </w:tcPr>
          <w:p w14:paraId="5732AB31">
            <w:pPr>
              <w:adjustRightInd w:val="0"/>
              <w:snapToGrid w:val="0"/>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团队评分标准</w:t>
            </w:r>
          </w:p>
        </w:tc>
        <w:tc>
          <w:tcPr>
            <w:tcW w:w="6086" w:type="dxa"/>
            <w:vAlign w:val="center"/>
          </w:tcPr>
          <w:p w14:paraId="374E7732">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【高度合作精神】（5分）</w:t>
            </w:r>
          </w:p>
          <w:p w14:paraId="65BCCE16">
            <w:pPr>
              <w:numPr>
                <w:ilvl w:val="0"/>
                <w:numId w:val="0"/>
              </w:numPr>
              <w:adjustRightInd w:val="0"/>
              <w:snapToGrid w:val="0"/>
              <w:ind w:leftChars="0"/>
              <w:rPr>
                <w:rFonts w:hint="eastAsia" w:ascii="宋体" w:hAnsi="宋体" w:eastAsia="宋体" w:cs="宋体"/>
                <w:sz w:val="24"/>
                <w:szCs w:val="24"/>
                <w:lang w:eastAsia="zh-CN"/>
              </w:rPr>
            </w:pPr>
          </w:p>
          <w:p w14:paraId="7E768CE8">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A.具备高效的沟通协作能力，能及时响应客户需求，设立专门的运营对接人员，确保项目期间沟通顺畅，</w:t>
            </w:r>
          </w:p>
          <w:p w14:paraId="2729902F">
            <w:pPr>
              <w:numPr>
                <w:ilvl w:val="0"/>
                <w:numId w:val="0"/>
              </w:numPr>
              <w:adjustRightInd w:val="0"/>
              <w:snapToGrid w:val="0"/>
              <w:ind w:leftChars="0"/>
              <w:rPr>
                <w:rFonts w:hint="eastAsia" w:ascii="宋体" w:hAnsi="宋体" w:eastAsia="宋体" w:cs="宋体"/>
                <w:sz w:val="24"/>
                <w:szCs w:val="24"/>
                <w:lang w:eastAsia="zh-CN"/>
              </w:rPr>
            </w:pPr>
          </w:p>
          <w:p w14:paraId="1731FA48">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B.评分标准以所有供应商所展示排名排名最高的评分为标准，依次递减。例：若A公司提供7*24H服务,B公司7*12H或5*24H服务，则A公司6分，B公司5分</w:t>
            </w:r>
          </w:p>
        </w:tc>
        <w:tc>
          <w:tcPr>
            <w:tcW w:w="1354" w:type="dxa"/>
            <w:vAlign w:val="center"/>
          </w:tcPr>
          <w:p w14:paraId="70D3FF67">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5</w:t>
            </w:r>
          </w:p>
        </w:tc>
      </w:tr>
      <w:tr w14:paraId="712C7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7" w:hRule="atLeast"/>
          <w:jc w:val="center"/>
        </w:trPr>
        <w:tc>
          <w:tcPr>
            <w:tcW w:w="1412" w:type="dxa"/>
            <w:vMerge w:val="continue"/>
            <w:vAlign w:val="center"/>
          </w:tcPr>
          <w:p w14:paraId="471F241E">
            <w:pPr>
              <w:adjustRightInd w:val="0"/>
              <w:snapToGrid w:val="0"/>
              <w:jc w:val="center"/>
              <w:rPr>
                <w:rFonts w:hint="eastAsia" w:cs="宋体" w:asciiTheme="minorEastAsia" w:hAnsiTheme="minorEastAsia"/>
                <w:kern w:val="0"/>
                <w:sz w:val="24"/>
                <w:szCs w:val="24"/>
                <w:lang w:eastAsia="zh-CN"/>
              </w:rPr>
            </w:pPr>
          </w:p>
        </w:tc>
        <w:tc>
          <w:tcPr>
            <w:tcW w:w="1907" w:type="dxa"/>
            <w:vMerge w:val="continue"/>
            <w:vAlign w:val="center"/>
          </w:tcPr>
          <w:p w14:paraId="30E0A1C1">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04912379">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【数据分析】（5分）</w:t>
            </w:r>
          </w:p>
          <w:p w14:paraId="4A29B460">
            <w:pPr>
              <w:numPr>
                <w:ilvl w:val="0"/>
                <w:numId w:val="0"/>
              </w:numPr>
              <w:adjustRightInd w:val="0"/>
              <w:snapToGrid w:val="0"/>
              <w:ind w:leftChars="0"/>
              <w:rPr>
                <w:rFonts w:hint="eastAsia" w:ascii="宋体" w:hAnsi="宋体" w:eastAsia="宋体" w:cs="宋体"/>
                <w:sz w:val="24"/>
                <w:szCs w:val="24"/>
                <w:lang w:eastAsia="zh-CN"/>
              </w:rPr>
            </w:pPr>
          </w:p>
          <w:p w14:paraId="74053571">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A.定期（日/周/月）对抖音品专数据进行监测分析，包括但不限于点击率、ROI数据等，依据数据反馈及时调整运营策略。</w:t>
            </w:r>
          </w:p>
          <w:p w14:paraId="61A352D1">
            <w:pPr>
              <w:numPr>
                <w:ilvl w:val="0"/>
                <w:numId w:val="0"/>
              </w:numPr>
              <w:adjustRightInd w:val="0"/>
              <w:snapToGrid w:val="0"/>
              <w:ind w:leftChars="0"/>
              <w:rPr>
                <w:rFonts w:hint="eastAsia" w:ascii="宋体" w:hAnsi="宋体" w:eastAsia="宋体" w:cs="宋体"/>
                <w:sz w:val="24"/>
                <w:szCs w:val="24"/>
                <w:lang w:eastAsia="zh-CN"/>
              </w:rPr>
            </w:pPr>
          </w:p>
          <w:p w14:paraId="5770C8B4">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B.评分标准：可以提供得（5分），无法提供得（1分）</w:t>
            </w:r>
          </w:p>
        </w:tc>
        <w:tc>
          <w:tcPr>
            <w:tcW w:w="1354" w:type="dxa"/>
            <w:vAlign w:val="center"/>
          </w:tcPr>
          <w:p w14:paraId="61E24E00">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5</w:t>
            </w:r>
          </w:p>
        </w:tc>
      </w:tr>
      <w:tr w14:paraId="7768B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restart"/>
            <w:vAlign w:val="center"/>
          </w:tcPr>
          <w:p w14:paraId="22FEE51C">
            <w:pPr>
              <w:adjustRightInd w:val="0"/>
              <w:snapToGrid w:val="0"/>
              <w:jc w:val="center"/>
              <w:rPr>
                <w:rFonts w:hint="default"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2.2.4</w:t>
            </w:r>
          </w:p>
        </w:tc>
        <w:tc>
          <w:tcPr>
            <w:tcW w:w="1907" w:type="dxa"/>
            <w:vMerge w:val="restart"/>
            <w:vAlign w:val="center"/>
          </w:tcPr>
          <w:p w14:paraId="3FEE28C0">
            <w:pPr>
              <w:adjustRightInd w:val="0"/>
              <w:snapToGrid w:val="0"/>
              <w:jc w:val="center"/>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适配度评分标准</w:t>
            </w:r>
          </w:p>
        </w:tc>
        <w:tc>
          <w:tcPr>
            <w:tcW w:w="6086" w:type="dxa"/>
            <w:vAlign w:val="center"/>
          </w:tcPr>
          <w:p w14:paraId="67336542">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【关键词覆盖】（40分）</w:t>
            </w:r>
          </w:p>
          <w:p w14:paraId="437FCFF4">
            <w:pPr>
              <w:numPr>
                <w:ilvl w:val="0"/>
                <w:numId w:val="0"/>
              </w:numPr>
              <w:adjustRightInd w:val="0"/>
              <w:snapToGrid w:val="0"/>
              <w:ind w:leftChars="0"/>
              <w:rPr>
                <w:rFonts w:hint="eastAsia" w:ascii="宋体" w:hAnsi="宋体" w:eastAsia="宋体" w:cs="宋体"/>
                <w:sz w:val="24"/>
                <w:szCs w:val="24"/>
                <w:lang w:eastAsia="zh-CN"/>
              </w:rPr>
            </w:pPr>
          </w:p>
          <w:p w14:paraId="25901BAE">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评分标准：其中拿下“三峡游轮”关键词以及与三峡游轮相关的词得（40分），拿不到得（1分）</w:t>
            </w:r>
          </w:p>
          <w:p w14:paraId="65193E3C">
            <w:pPr>
              <w:numPr>
                <w:ilvl w:val="0"/>
                <w:numId w:val="0"/>
              </w:numPr>
              <w:adjustRightInd w:val="0"/>
              <w:snapToGrid w:val="0"/>
              <w:ind w:leftChars="0"/>
              <w:rPr>
                <w:rFonts w:hint="eastAsia" w:ascii="宋体" w:hAnsi="宋体" w:eastAsia="宋体" w:cs="宋体"/>
                <w:sz w:val="24"/>
                <w:szCs w:val="24"/>
                <w:lang w:eastAsia="zh-CN"/>
              </w:rPr>
            </w:pPr>
          </w:p>
          <w:p w14:paraId="7CBC070B">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eastAsia="zh-CN"/>
              </w:rPr>
              <w:t>注：本项目需签约进合同</w:t>
            </w:r>
          </w:p>
        </w:tc>
        <w:tc>
          <w:tcPr>
            <w:tcW w:w="1354" w:type="dxa"/>
            <w:vAlign w:val="center"/>
          </w:tcPr>
          <w:p w14:paraId="790E3994">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40</w:t>
            </w:r>
          </w:p>
        </w:tc>
      </w:tr>
      <w:tr w14:paraId="58FF9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5C474802">
            <w:pPr>
              <w:adjustRightInd w:val="0"/>
              <w:snapToGrid w:val="0"/>
              <w:jc w:val="center"/>
              <w:rPr>
                <w:rFonts w:hint="default" w:cs="宋体" w:asciiTheme="minorEastAsia" w:hAnsiTheme="minorEastAsia"/>
                <w:kern w:val="0"/>
                <w:sz w:val="24"/>
                <w:szCs w:val="24"/>
                <w:lang w:val="en-US" w:eastAsia="zh-CN"/>
              </w:rPr>
            </w:pPr>
          </w:p>
        </w:tc>
        <w:tc>
          <w:tcPr>
            <w:tcW w:w="1907" w:type="dxa"/>
            <w:vMerge w:val="continue"/>
            <w:vAlign w:val="center"/>
          </w:tcPr>
          <w:p w14:paraId="2C200EA9">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540E18B9">
            <w:pPr>
              <w:numPr>
                <w:ilvl w:val="0"/>
                <w:numId w:val="0"/>
              </w:numPr>
              <w:adjustRightInd w:val="0"/>
              <w:snapToGrid w:val="0"/>
              <w:ind w:leftChars="0"/>
              <w:rPr>
                <w:rFonts w:hint="eastAsia" w:ascii="宋体" w:hAnsi="宋体" w:eastAsia="宋体" w:cs="宋体"/>
                <w:sz w:val="24"/>
                <w:szCs w:val="24"/>
                <w:lang w:eastAsia="zh-CN"/>
              </w:rPr>
            </w:pPr>
          </w:p>
          <w:p w14:paraId="221B7988">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【行业词覆盖】（20分）</w:t>
            </w:r>
          </w:p>
          <w:p w14:paraId="04A29F9B">
            <w:pPr>
              <w:numPr>
                <w:ilvl w:val="0"/>
                <w:numId w:val="0"/>
              </w:numPr>
              <w:adjustRightInd w:val="0"/>
              <w:snapToGrid w:val="0"/>
              <w:ind w:leftChars="0"/>
              <w:rPr>
                <w:rFonts w:hint="eastAsia" w:ascii="宋体" w:hAnsi="宋体" w:eastAsia="宋体" w:cs="宋体"/>
                <w:sz w:val="24"/>
                <w:szCs w:val="24"/>
                <w:lang w:val="en-US" w:eastAsia="zh-CN"/>
              </w:rPr>
            </w:pPr>
          </w:p>
          <w:p w14:paraId="6EF4094D">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评分标准：其中拿下行业词越多得分越高，最高得（20分），依次递减5分</w:t>
            </w:r>
          </w:p>
          <w:p w14:paraId="1B133657">
            <w:pPr>
              <w:numPr>
                <w:ilvl w:val="0"/>
                <w:numId w:val="0"/>
              </w:numPr>
              <w:adjustRightInd w:val="0"/>
              <w:snapToGrid w:val="0"/>
              <w:ind w:leftChars="0"/>
              <w:rPr>
                <w:rFonts w:hint="eastAsia" w:ascii="宋体" w:hAnsi="宋体" w:eastAsia="宋体" w:cs="宋体"/>
                <w:sz w:val="24"/>
                <w:szCs w:val="24"/>
                <w:lang w:val="en-US" w:eastAsia="zh-CN"/>
              </w:rPr>
            </w:pPr>
          </w:p>
          <w:p w14:paraId="5BF48789">
            <w:pPr>
              <w:numPr>
                <w:ilvl w:val="0"/>
                <w:numId w:val="0"/>
              </w:numPr>
              <w:adjustRightInd w:val="0"/>
              <w:snapToGrid w:val="0"/>
              <w:ind w:leftChars="0"/>
              <w:rPr>
                <w:rFonts w:hint="eastAsia" w:ascii="宋体" w:hAnsi="宋体" w:eastAsia="宋体" w:cs="宋体"/>
                <w:sz w:val="24"/>
                <w:szCs w:val="24"/>
                <w:lang w:eastAsia="zh-CN"/>
              </w:rPr>
            </w:pPr>
            <w:r>
              <w:rPr>
                <w:rFonts w:hint="eastAsia" w:ascii="宋体" w:hAnsi="宋体" w:eastAsia="宋体" w:cs="宋体"/>
                <w:sz w:val="24"/>
                <w:szCs w:val="24"/>
                <w:lang w:val="en-US" w:eastAsia="zh-CN"/>
              </w:rPr>
              <w:t>注：本项目需签约进合同</w:t>
            </w:r>
          </w:p>
        </w:tc>
        <w:tc>
          <w:tcPr>
            <w:tcW w:w="1354" w:type="dxa"/>
            <w:vAlign w:val="center"/>
          </w:tcPr>
          <w:p w14:paraId="0C656814">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20</w:t>
            </w:r>
          </w:p>
        </w:tc>
      </w:tr>
      <w:tr w14:paraId="16968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7C57CC71">
            <w:pPr>
              <w:adjustRightInd w:val="0"/>
              <w:snapToGrid w:val="0"/>
              <w:jc w:val="center"/>
              <w:rPr>
                <w:rFonts w:hint="eastAsia" w:cs="宋体" w:asciiTheme="minorEastAsia" w:hAnsiTheme="minorEastAsia"/>
                <w:kern w:val="0"/>
                <w:sz w:val="24"/>
                <w:szCs w:val="24"/>
                <w:lang w:val="en-US" w:eastAsia="zh-CN"/>
              </w:rPr>
            </w:pPr>
          </w:p>
        </w:tc>
        <w:tc>
          <w:tcPr>
            <w:tcW w:w="1907" w:type="dxa"/>
            <w:vMerge w:val="continue"/>
            <w:vAlign w:val="center"/>
          </w:tcPr>
          <w:p w14:paraId="06E0732F">
            <w:pPr>
              <w:adjustRightInd w:val="0"/>
              <w:snapToGrid w:val="0"/>
              <w:jc w:val="center"/>
              <w:rPr>
                <w:rFonts w:hint="eastAsia" w:cs="宋体" w:asciiTheme="minorEastAsia" w:hAnsiTheme="minorEastAsia"/>
                <w:sz w:val="24"/>
                <w:szCs w:val="24"/>
                <w:lang w:val="en-US" w:eastAsia="zh-CN"/>
              </w:rPr>
            </w:pPr>
          </w:p>
        </w:tc>
        <w:tc>
          <w:tcPr>
            <w:tcW w:w="6086" w:type="dxa"/>
            <w:vAlign w:val="center"/>
          </w:tcPr>
          <w:p w14:paraId="4C17C6F6">
            <w:pPr>
              <w:numPr>
                <w:ilvl w:val="0"/>
                <w:numId w:val="0"/>
              </w:numPr>
              <w:adjustRightInd w:val="0"/>
              <w:snapToGrid w:val="0"/>
              <w:ind w:leftChars="0"/>
              <w:rPr>
                <w:rFonts w:hint="eastAsia" w:ascii="宋体" w:hAnsi="宋体" w:eastAsia="宋体" w:cs="宋体"/>
                <w:sz w:val="24"/>
                <w:szCs w:val="24"/>
                <w:lang w:val="en-US" w:eastAsia="zh-CN"/>
              </w:rPr>
            </w:pPr>
          </w:p>
          <w:p w14:paraId="1CC28B27">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【品牌词覆盖】（10分）</w:t>
            </w:r>
          </w:p>
          <w:p w14:paraId="43697E6F">
            <w:pPr>
              <w:numPr>
                <w:ilvl w:val="0"/>
                <w:numId w:val="0"/>
              </w:numPr>
              <w:adjustRightInd w:val="0"/>
              <w:snapToGrid w:val="0"/>
              <w:ind w:leftChars="0"/>
              <w:rPr>
                <w:rFonts w:hint="eastAsia" w:ascii="宋体" w:hAnsi="宋体" w:eastAsia="宋体" w:cs="宋体"/>
                <w:sz w:val="24"/>
                <w:szCs w:val="24"/>
                <w:lang w:val="en-US" w:eastAsia="zh-CN"/>
              </w:rPr>
            </w:pPr>
          </w:p>
          <w:p w14:paraId="591DBCAA">
            <w:pPr>
              <w:numPr>
                <w:ilvl w:val="0"/>
                <w:numId w:val="0"/>
              </w:numPr>
              <w:adjustRightInd w:val="0"/>
              <w:snapToGrid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评分标准：其中拿下品牌词越多得分越高，最高得（10分），依次递减2分</w:t>
            </w:r>
          </w:p>
          <w:p w14:paraId="59BB6AF8">
            <w:pPr>
              <w:numPr>
                <w:ilvl w:val="0"/>
                <w:numId w:val="0"/>
              </w:numPr>
              <w:adjustRightInd w:val="0"/>
              <w:snapToGrid w:val="0"/>
              <w:ind w:leftChars="0"/>
              <w:rPr>
                <w:rFonts w:hint="eastAsia" w:ascii="宋体" w:hAnsi="宋体" w:eastAsia="宋体" w:cs="宋体"/>
                <w:sz w:val="24"/>
                <w:szCs w:val="24"/>
                <w:lang w:val="en-US" w:eastAsia="zh-CN"/>
              </w:rPr>
            </w:pPr>
          </w:p>
          <w:p w14:paraId="7C46D1F0">
            <w:pPr>
              <w:numPr>
                <w:ilvl w:val="0"/>
                <w:numId w:val="0"/>
              </w:numPr>
              <w:adjustRightInd w:val="0"/>
              <w:snapToGrid w:val="0"/>
              <w:ind w:leftChars="0"/>
              <w:rPr>
                <w:rFonts w:hint="eastAsia" w:asciiTheme="minorHAnsi" w:hAnsiTheme="minorHAnsi" w:eastAsiaTheme="minorEastAsia" w:cstheme="minorBidi"/>
                <w:kern w:val="2"/>
                <w:sz w:val="21"/>
                <w:szCs w:val="22"/>
                <w:lang w:val="en-US" w:eastAsia="zh-CN" w:bidi="ar-SA"/>
              </w:rPr>
            </w:pPr>
            <w:r>
              <w:rPr>
                <w:rFonts w:hint="eastAsia" w:ascii="宋体" w:hAnsi="宋体" w:eastAsia="宋体" w:cs="宋体"/>
                <w:sz w:val="24"/>
                <w:szCs w:val="24"/>
                <w:lang w:val="en-US" w:eastAsia="zh-CN"/>
              </w:rPr>
              <w:t>注：本项目需签约进合同</w:t>
            </w:r>
          </w:p>
        </w:tc>
        <w:tc>
          <w:tcPr>
            <w:tcW w:w="1354" w:type="dxa"/>
            <w:vAlign w:val="center"/>
          </w:tcPr>
          <w:p w14:paraId="7D0DD77F">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r w14:paraId="78B3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Align w:val="center"/>
          </w:tcPr>
          <w:p w14:paraId="29E94257">
            <w:pPr>
              <w:adjustRightInd w:val="0"/>
              <w:snapToGrid w:val="0"/>
              <w:jc w:val="center"/>
              <w:rPr>
                <w:rFonts w:hint="default" w:cs="宋体" w:asciiTheme="minorEastAsia" w:hAnsiTheme="minorEastAsia"/>
                <w:kern w:val="0"/>
                <w:sz w:val="24"/>
                <w:szCs w:val="24"/>
                <w:lang w:val="en-US" w:eastAsia="zh-CN"/>
              </w:rPr>
            </w:pPr>
            <w:r>
              <w:rPr>
                <w:rFonts w:hint="eastAsia" w:cs="宋体" w:asciiTheme="minorEastAsia" w:hAnsiTheme="minorEastAsia"/>
                <w:kern w:val="0"/>
                <w:sz w:val="24"/>
                <w:szCs w:val="24"/>
                <w:lang w:val="en-US" w:eastAsia="zh-CN"/>
              </w:rPr>
              <w:t>2.2.5</w:t>
            </w:r>
          </w:p>
        </w:tc>
        <w:tc>
          <w:tcPr>
            <w:tcW w:w="1907" w:type="dxa"/>
            <w:vAlign w:val="center"/>
          </w:tcPr>
          <w:p w14:paraId="7FD6779C">
            <w:pPr>
              <w:adjustRightInd w:val="0"/>
              <w:snapToGrid w:val="0"/>
              <w:jc w:val="center"/>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报价评分标准</w:t>
            </w:r>
          </w:p>
        </w:tc>
        <w:tc>
          <w:tcPr>
            <w:tcW w:w="6086" w:type="dxa"/>
            <w:vAlign w:val="center"/>
          </w:tcPr>
          <w:p w14:paraId="5D3BC6DF">
            <w:pPr>
              <w:numPr>
                <w:ilvl w:val="0"/>
                <w:numId w:val="0"/>
              </w:numPr>
              <w:adjustRightInd w:val="0"/>
              <w:snapToGrid w:val="0"/>
              <w:ind w:leftChars="0"/>
              <w:rPr>
                <w:rFonts w:hint="eastAsia" w:cs="宋体" w:asciiTheme="minorEastAsia" w:hAnsiTheme="minorEastAsia"/>
                <w:sz w:val="24"/>
                <w:szCs w:val="24"/>
                <w:lang w:val="en-US" w:eastAsia="zh-CN"/>
              </w:rPr>
            </w:pPr>
            <w:r>
              <w:rPr>
                <w:rFonts w:hint="eastAsia" w:cs="宋体" w:asciiTheme="minorEastAsia" w:hAnsiTheme="minorEastAsia"/>
                <w:sz w:val="24"/>
                <w:szCs w:val="24"/>
                <w:lang w:val="en-US" w:eastAsia="zh-CN"/>
              </w:rPr>
              <w:t>由审计监察部根据投标单位的方案提供控标价，投标单位对比控标价增减1%对应值加减2分。</w:t>
            </w:r>
          </w:p>
          <w:p w14:paraId="5E00209A">
            <w:pPr>
              <w:numPr>
                <w:ilvl w:val="0"/>
                <w:numId w:val="0"/>
              </w:numPr>
              <w:adjustRightInd w:val="0"/>
              <w:snapToGrid w:val="0"/>
              <w:ind w:leftChars="0"/>
              <w:rPr>
                <w:rFonts w:hint="eastAsia" w:ascii="宋体" w:hAnsi="宋体" w:eastAsia="宋体" w:cs="宋体"/>
                <w:sz w:val="24"/>
                <w:szCs w:val="24"/>
                <w:lang w:val="en-US" w:eastAsia="zh-CN"/>
              </w:rPr>
            </w:pPr>
            <w:r>
              <w:rPr>
                <w:rFonts w:hint="eastAsia" w:cs="宋体" w:asciiTheme="minorEastAsia" w:hAnsiTheme="minorEastAsia"/>
                <w:sz w:val="24"/>
                <w:szCs w:val="24"/>
                <w:lang w:val="en-US" w:eastAsia="zh-CN"/>
              </w:rPr>
              <w:t>根据投标公司数量，将10分划分为与投标公司数量相同的几个区间分值，根据投标报价，由低到高降序打分（即报价越低的得分越高）。</w:t>
            </w:r>
          </w:p>
        </w:tc>
        <w:tc>
          <w:tcPr>
            <w:tcW w:w="1354" w:type="dxa"/>
            <w:vAlign w:val="center"/>
          </w:tcPr>
          <w:p w14:paraId="0D1C82A6">
            <w:pPr>
              <w:spacing w:line="360" w:lineRule="auto"/>
              <w:jc w:val="center"/>
              <w:rPr>
                <w:rFonts w:hint="default" w:cs="宋体" w:asciiTheme="minorEastAsia" w:hAnsiTheme="minorEastAsia"/>
                <w:sz w:val="24"/>
                <w:szCs w:val="24"/>
                <w:lang w:val="en-US" w:eastAsia="zh-CN"/>
              </w:rPr>
            </w:pPr>
            <w:r>
              <w:rPr>
                <w:rFonts w:hint="eastAsia" w:cs="宋体" w:asciiTheme="minorEastAsia" w:hAnsiTheme="minorEastAsia"/>
                <w:sz w:val="24"/>
                <w:szCs w:val="24"/>
                <w:lang w:val="en-US" w:eastAsia="zh-CN"/>
              </w:rPr>
              <w:t>10</w:t>
            </w:r>
          </w:p>
        </w:tc>
      </w:tr>
    </w:tbl>
    <w:p w14:paraId="13D866CD">
      <w:pPr>
        <w:pStyle w:val="4"/>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评标方法</w:t>
      </w:r>
    </w:p>
    <w:p w14:paraId="347ED8A0">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本次评标采用综合评分法。评标委员会对满足招标文件实质性要求的投标文件，按照本章规定的评分标准进行打分，并按得分由高到低顺序推荐中标候选人。</w:t>
      </w:r>
    </w:p>
    <w:p w14:paraId="167D29B1">
      <w:pPr>
        <w:pStyle w:val="4"/>
        <w:numPr>
          <w:ilvl w:val="0"/>
          <w:numId w:val="5"/>
        </w:numPr>
        <w:spacing w:line="360" w:lineRule="auto"/>
        <w:ind w:firstLineChars="0"/>
        <w:rPr>
          <w:rFonts w:cs="宋体" w:asciiTheme="minorEastAsia" w:hAnsiTheme="minorEastAsia"/>
          <w:b/>
          <w:bCs/>
          <w:sz w:val="24"/>
        </w:rPr>
      </w:pPr>
      <w:r>
        <w:rPr>
          <w:rFonts w:hint="eastAsia" w:cs="宋体" w:asciiTheme="minorEastAsia" w:hAnsiTheme="minorEastAsia"/>
          <w:b/>
          <w:bCs/>
          <w:sz w:val="24"/>
        </w:rPr>
        <w:t>评标程序</w:t>
      </w:r>
    </w:p>
    <w:p w14:paraId="439E763E">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 初步评审</w:t>
      </w:r>
    </w:p>
    <w:p w14:paraId="0E87F828">
      <w:pPr>
        <w:snapToGrid w:val="0"/>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5.1.1 评标委员会可以要求投标人提交第三章“投标人资格要求”规定的有关证明和证件的原件，以便核验。评标委员会依据本章第2.1款的规定对投标文件进行初步评审。有一项不符合评审标准的，评标委员会应当否决其投标。</w:t>
      </w:r>
    </w:p>
    <w:p w14:paraId="1486B959">
      <w:pPr>
        <w:snapToGrid w:val="0"/>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5.1.2 投标人有以下情形之一的，评标委员会应当否决其投标：</w:t>
      </w:r>
    </w:p>
    <w:p w14:paraId="649C5C32">
      <w:pPr>
        <w:pStyle w:val="4"/>
        <w:numPr>
          <w:ilvl w:val="0"/>
          <w:numId w:val="6"/>
        </w:numPr>
        <w:snapToGrid w:val="0"/>
        <w:spacing w:line="360" w:lineRule="auto"/>
        <w:ind w:firstLine="6" w:firstLineChars="0"/>
        <w:rPr>
          <w:rStyle w:val="5"/>
          <w:rFonts w:asciiTheme="minorEastAsia" w:hAnsiTheme="minorEastAsia"/>
          <w:lang w:val="zh-CN"/>
        </w:rPr>
      </w:pPr>
      <w:r>
        <w:rPr>
          <w:rStyle w:val="5"/>
          <w:rFonts w:hint="eastAsia" w:asciiTheme="minorEastAsia" w:hAnsiTheme="minorEastAsia"/>
          <w:lang w:val="zh-CN"/>
        </w:rPr>
        <w:t>投标文件没有对招标文件的实质性要求和条件作出响应；</w:t>
      </w:r>
    </w:p>
    <w:p w14:paraId="7B0409C7">
      <w:pPr>
        <w:pStyle w:val="4"/>
        <w:numPr>
          <w:ilvl w:val="0"/>
          <w:numId w:val="6"/>
        </w:numPr>
        <w:snapToGrid w:val="0"/>
        <w:spacing w:line="360" w:lineRule="auto"/>
        <w:ind w:firstLine="6" w:firstLineChars="0"/>
        <w:rPr>
          <w:rStyle w:val="5"/>
          <w:rFonts w:asciiTheme="minorEastAsia" w:hAnsiTheme="minorEastAsia"/>
          <w:lang w:val="zh-CN"/>
        </w:rPr>
      </w:pPr>
      <w:r>
        <w:rPr>
          <w:rStyle w:val="5"/>
          <w:rFonts w:hint="eastAsia" w:asciiTheme="minorEastAsia" w:hAnsiTheme="minorEastAsia"/>
          <w:lang w:val="zh-CN"/>
        </w:rPr>
        <w:t>有串通投标、弄虚作假、行贿等违法行为。</w:t>
      </w:r>
    </w:p>
    <w:p w14:paraId="08D6E0E6">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5.1.3 投标报价有算术错误及其他错误的，评标委员会按以下原则要求投标人对投标报价进行修正，并要求投标人书面澄清确认。投标人拒不澄清确认的，评标委员会应当否决其投标：</w:t>
      </w:r>
    </w:p>
    <w:p w14:paraId="4E1DA302">
      <w:pPr>
        <w:pStyle w:val="4"/>
        <w:numPr>
          <w:ilvl w:val="0"/>
          <w:numId w:val="7"/>
        </w:numPr>
        <w:snapToGrid w:val="0"/>
        <w:spacing w:line="360" w:lineRule="auto"/>
        <w:ind w:firstLine="6" w:firstLineChars="0"/>
        <w:rPr>
          <w:rStyle w:val="5"/>
          <w:rFonts w:asciiTheme="minorEastAsia" w:hAnsiTheme="minorEastAsia"/>
          <w:lang w:val="zh-CN"/>
        </w:rPr>
      </w:pPr>
      <w:r>
        <w:rPr>
          <w:rStyle w:val="5"/>
          <w:rFonts w:hint="eastAsia" w:asciiTheme="minorEastAsia" w:hAnsiTheme="minorEastAsia"/>
          <w:lang w:val="zh-CN"/>
        </w:rPr>
        <w:t>投标文件中的大写金额与小写金额不一致的，以大写金额为准；</w:t>
      </w:r>
    </w:p>
    <w:p w14:paraId="50DC102E">
      <w:pPr>
        <w:pStyle w:val="4"/>
        <w:numPr>
          <w:ilvl w:val="0"/>
          <w:numId w:val="7"/>
        </w:numPr>
        <w:snapToGrid w:val="0"/>
        <w:spacing w:line="360" w:lineRule="auto"/>
        <w:ind w:firstLine="6" w:firstLineChars="0"/>
        <w:rPr>
          <w:rStyle w:val="5"/>
          <w:rFonts w:asciiTheme="minorEastAsia" w:hAnsiTheme="minorEastAsia"/>
          <w:lang w:val="zh-CN"/>
        </w:rPr>
      </w:pPr>
      <w:r>
        <w:rPr>
          <w:rStyle w:val="5"/>
          <w:rFonts w:hint="eastAsia" w:asciiTheme="minorEastAsia" w:hAnsiTheme="minorEastAsia"/>
          <w:lang w:val="zh-CN"/>
        </w:rPr>
        <w:t>总价金额与单价金额不一致的，以单价金额为准，但单价金额小数点有明显错误的除外；</w:t>
      </w:r>
    </w:p>
    <w:p w14:paraId="36BEA3F6">
      <w:pPr>
        <w:pStyle w:val="4"/>
        <w:numPr>
          <w:ilvl w:val="0"/>
          <w:numId w:val="7"/>
        </w:numPr>
        <w:snapToGrid w:val="0"/>
        <w:spacing w:line="360" w:lineRule="auto"/>
        <w:ind w:firstLine="6" w:firstLineChars="0"/>
        <w:rPr>
          <w:rStyle w:val="5"/>
          <w:rFonts w:asciiTheme="minorEastAsia" w:hAnsiTheme="minorEastAsia"/>
          <w:lang w:val="zh-CN"/>
        </w:rPr>
      </w:pPr>
      <w:r>
        <w:rPr>
          <w:rStyle w:val="5"/>
          <w:rFonts w:hint="eastAsia" w:asciiTheme="minorEastAsia" w:hAnsiTheme="minorEastAsia"/>
          <w:lang w:val="zh-CN"/>
        </w:rPr>
        <w:t>投标报价为各分项报价金额之和，投标报价与分项报价的合价不一致的，应以各分项合价累计数为准，修正投标报价；</w:t>
      </w:r>
    </w:p>
    <w:p w14:paraId="0B6BA1F6">
      <w:pPr>
        <w:pStyle w:val="4"/>
        <w:numPr>
          <w:ilvl w:val="0"/>
          <w:numId w:val="7"/>
        </w:numPr>
        <w:snapToGrid w:val="0"/>
        <w:spacing w:line="360" w:lineRule="auto"/>
        <w:ind w:firstLine="6" w:firstLineChars="0"/>
        <w:rPr>
          <w:rStyle w:val="5"/>
          <w:rFonts w:asciiTheme="minorEastAsia" w:hAnsiTheme="minorEastAsia"/>
          <w:lang w:val="zh-CN"/>
        </w:rPr>
      </w:pPr>
      <w:r>
        <w:rPr>
          <w:rStyle w:val="5"/>
          <w:rFonts w:hint="eastAsia" w:asciiTheme="minorEastAsia" w:hAnsiTheme="minorEastAsia"/>
          <w:lang w:val="zh-CN"/>
        </w:rPr>
        <w:t>如果分项报价中存在缺漏项，则视为缺漏项价格已包含在其他分项报价之中。</w:t>
      </w:r>
    </w:p>
    <w:p w14:paraId="59EE6ECD">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5.1.4初步评审中评审原则标注为“重要指标”的，均为实质性要求。投标文件响应有负偏离的、属于投标文件存在重大偏差，评标委员会将否决其投标。</w:t>
      </w:r>
    </w:p>
    <w:p w14:paraId="2CA0300C">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5.2 详细评审</w:t>
      </w:r>
    </w:p>
    <w:p w14:paraId="5B46F6D9">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5.2.1 评标委员会按本章第2.2款规定的量化因素和分值进行打分，并计算出综合评估得分。</w:t>
      </w:r>
    </w:p>
    <w:p w14:paraId="1F499859">
      <w:pPr>
        <w:pStyle w:val="4"/>
        <w:numPr>
          <w:ilvl w:val="0"/>
          <w:numId w:val="8"/>
        </w:numPr>
        <w:snapToGrid w:val="0"/>
        <w:spacing w:line="360" w:lineRule="auto"/>
        <w:ind w:firstLine="6" w:firstLineChars="0"/>
        <w:rPr>
          <w:rStyle w:val="5"/>
          <w:rFonts w:asciiTheme="minorEastAsia" w:hAnsiTheme="minorEastAsia"/>
          <w:color w:val="auto"/>
          <w:lang w:val="zh-CN"/>
        </w:rPr>
      </w:pPr>
      <w:r>
        <w:rPr>
          <w:rStyle w:val="5"/>
          <w:rFonts w:hint="eastAsia" w:asciiTheme="minorEastAsia" w:hAnsiTheme="minorEastAsia"/>
          <w:color w:val="auto"/>
          <w:lang w:val="zh-CN"/>
        </w:rPr>
        <w:t>按本章第2.2.2目规定的评审因素和分值对商务部分计算出得分A；</w:t>
      </w:r>
    </w:p>
    <w:p w14:paraId="79A649C4">
      <w:pPr>
        <w:pStyle w:val="4"/>
        <w:numPr>
          <w:ilvl w:val="0"/>
          <w:numId w:val="8"/>
        </w:numPr>
        <w:snapToGrid w:val="0"/>
        <w:spacing w:line="360" w:lineRule="auto"/>
        <w:ind w:firstLine="6" w:firstLineChars="0"/>
        <w:jc w:val="left"/>
        <w:rPr>
          <w:rStyle w:val="5"/>
          <w:rFonts w:asciiTheme="minorEastAsia" w:hAnsiTheme="minorEastAsia"/>
          <w:color w:val="auto"/>
          <w:lang w:val="zh-CN"/>
        </w:rPr>
      </w:pPr>
      <w:r>
        <w:rPr>
          <w:rStyle w:val="5"/>
          <w:rFonts w:hint="eastAsia" w:asciiTheme="minorEastAsia" w:hAnsiTheme="minorEastAsia"/>
          <w:color w:val="auto"/>
          <w:lang w:val="zh-CN"/>
        </w:rPr>
        <w:t>按本章第2.2.3目规定的评审因素和分值对</w:t>
      </w:r>
      <w:r>
        <w:rPr>
          <w:rStyle w:val="5"/>
          <w:rFonts w:hint="eastAsia" w:asciiTheme="minorEastAsia" w:hAnsiTheme="minorEastAsia"/>
          <w:color w:val="auto"/>
          <w:lang w:val="en-US" w:eastAsia="zh-CN"/>
        </w:rPr>
        <w:t>团队</w:t>
      </w:r>
      <w:r>
        <w:rPr>
          <w:rStyle w:val="5"/>
          <w:rFonts w:hint="eastAsia" w:asciiTheme="minorEastAsia" w:hAnsiTheme="minorEastAsia"/>
          <w:color w:val="auto"/>
          <w:lang w:val="zh-CN"/>
        </w:rPr>
        <w:t>部分计算出得分B；</w:t>
      </w:r>
    </w:p>
    <w:p w14:paraId="7ED2B8CF">
      <w:pPr>
        <w:pStyle w:val="4"/>
        <w:numPr>
          <w:ilvl w:val="0"/>
          <w:numId w:val="8"/>
        </w:numPr>
        <w:snapToGrid w:val="0"/>
        <w:spacing w:line="360" w:lineRule="auto"/>
        <w:ind w:firstLine="6" w:firstLineChars="0"/>
        <w:jc w:val="left"/>
        <w:rPr>
          <w:rStyle w:val="5"/>
          <w:rFonts w:asciiTheme="minorEastAsia" w:hAnsiTheme="minorEastAsia"/>
          <w:color w:val="auto"/>
          <w:lang w:val="zh-CN"/>
        </w:rPr>
      </w:pPr>
      <w:r>
        <w:rPr>
          <w:rStyle w:val="5"/>
          <w:rFonts w:hint="eastAsia" w:asciiTheme="minorEastAsia" w:hAnsiTheme="minorEastAsia"/>
          <w:color w:val="auto"/>
          <w:lang w:val="zh-CN"/>
        </w:rPr>
        <w:t>按本章第2.2.</w:t>
      </w:r>
      <w:r>
        <w:rPr>
          <w:rStyle w:val="5"/>
          <w:rFonts w:hint="eastAsia" w:asciiTheme="minorEastAsia" w:hAnsiTheme="minorEastAsia"/>
          <w:color w:val="auto"/>
          <w:lang w:val="en-US" w:eastAsia="zh-CN"/>
        </w:rPr>
        <w:t>4</w:t>
      </w:r>
      <w:r>
        <w:rPr>
          <w:rStyle w:val="5"/>
          <w:rFonts w:hint="eastAsia" w:asciiTheme="minorEastAsia" w:hAnsiTheme="minorEastAsia"/>
          <w:color w:val="auto"/>
          <w:lang w:val="zh-CN"/>
        </w:rPr>
        <w:t>目规定的评审因素和分值对</w:t>
      </w:r>
      <w:r>
        <w:rPr>
          <w:rStyle w:val="5"/>
          <w:rFonts w:hint="eastAsia" w:asciiTheme="minorEastAsia" w:hAnsiTheme="minorEastAsia"/>
          <w:color w:val="auto"/>
          <w:lang w:val="en-US" w:eastAsia="zh-CN"/>
        </w:rPr>
        <w:t>适配度部分</w:t>
      </w:r>
      <w:r>
        <w:rPr>
          <w:rStyle w:val="5"/>
          <w:rFonts w:hint="eastAsia" w:asciiTheme="minorEastAsia" w:hAnsiTheme="minorEastAsia"/>
          <w:color w:val="auto"/>
          <w:lang w:val="zh-CN"/>
        </w:rPr>
        <w:t>计算出得分</w:t>
      </w:r>
      <w:r>
        <w:rPr>
          <w:rStyle w:val="5"/>
          <w:rFonts w:hint="eastAsia" w:asciiTheme="minorEastAsia" w:hAnsiTheme="minorEastAsia"/>
          <w:color w:val="auto"/>
          <w:lang w:val="en-US" w:eastAsia="zh-CN"/>
        </w:rPr>
        <w:t>C；</w:t>
      </w:r>
    </w:p>
    <w:p w14:paraId="3760262F">
      <w:pPr>
        <w:pStyle w:val="4"/>
        <w:numPr>
          <w:ilvl w:val="0"/>
          <w:numId w:val="8"/>
        </w:numPr>
        <w:snapToGrid w:val="0"/>
        <w:spacing w:line="360" w:lineRule="auto"/>
        <w:ind w:firstLine="6" w:firstLineChars="0"/>
        <w:jc w:val="left"/>
        <w:rPr>
          <w:rStyle w:val="5"/>
          <w:rFonts w:asciiTheme="minorEastAsia" w:hAnsiTheme="minorEastAsia"/>
          <w:color w:val="auto"/>
          <w:lang w:val="zh-CN"/>
        </w:rPr>
      </w:pPr>
      <w:r>
        <w:rPr>
          <w:rStyle w:val="5"/>
          <w:rFonts w:hint="eastAsia" w:asciiTheme="minorEastAsia" w:hAnsiTheme="minorEastAsia"/>
          <w:color w:val="auto"/>
          <w:lang w:val="zh-CN"/>
        </w:rPr>
        <w:t>按本章第2.2.</w:t>
      </w:r>
      <w:r>
        <w:rPr>
          <w:rStyle w:val="5"/>
          <w:rFonts w:hint="eastAsia" w:asciiTheme="minorEastAsia" w:hAnsiTheme="minorEastAsia"/>
          <w:color w:val="auto"/>
          <w:lang w:val="en-US" w:eastAsia="zh-CN"/>
        </w:rPr>
        <w:t>5</w:t>
      </w:r>
      <w:r>
        <w:rPr>
          <w:rStyle w:val="5"/>
          <w:rFonts w:hint="eastAsia" w:asciiTheme="minorEastAsia" w:hAnsiTheme="minorEastAsia"/>
          <w:color w:val="auto"/>
          <w:lang w:val="zh-CN"/>
        </w:rPr>
        <w:t>目规定的评审因素和分值对</w:t>
      </w:r>
      <w:r>
        <w:rPr>
          <w:rStyle w:val="5"/>
          <w:rFonts w:hint="eastAsia" w:asciiTheme="minorEastAsia" w:hAnsiTheme="minorEastAsia"/>
          <w:color w:val="auto"/>
          <w:lang w:val="en-US" w:eastAsia="zh-CN"/>
        </w:rPr>
        <w:t>技术部分</w:t>
      </w:r>
      <w:r>
        <w:rPr>
          <w:rStyle w:val="5"/>
          <w:rFonts w:hint="eastAsia" w:asciiTheme="minorEastAsia" w:hAnsiTheme="minorEastAsia"/>
          <w:color w:val="auto"/>
          <w:lang w:val="zh-CN"/>
        </w:rPr>
        <w:t>计算出得分</w:t>
      </w:r>
      <w:r>
        <w:rPr>
          <w:rStyle w:val="5"/>
          <w:rFonts w:hint="eastAsia" w:asciiTheme="minorEastAsia" w:hAnsiTheme="minorEastAsia"/>
          <w:color w:val="auto"/>
          <w:lang w:val="en-US" w:eastAsia="zh-CN"/>
        </w:rPr>
        <w:t>D；</w:t>
      </w:r>
    </w:p>
    <w:p w14:paraId="526FB34E">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5.2.2 评分分值计算保留小数点后两位，小数点后第三位“四舍五入”。</w:t>
      </w:r>
    </w:p>
    <w:p w14:paraId="314CD7ED">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5.2.3 投标人得分=A+B</w:t>
      </w:r>
      <w:r>
        <w:rPr>
          <w:rFonts w:hint="eastAsia" w:asciiTheme="minorEastAsia" w:hAnsiTheme="minorEastAsia"/>
          <w:sz w:val="24"/>
          <w:szCs w:val="24"/>
          <w:lang w:val="en-US" w:eastAsia="zh-CN"/>
        </w:rPr>
        <w:t>+C+D</w:t>
      </w:r>
      <w:r>
        <w:rPr>
          <w:rFonts w:hint="eastAsia" w:asciiTheme="minorEastAsia" w:hAnsiTheme="minorEastAsia"/>
          <w:sz w:val="24"/>
          <w:szCs w:val="24"/>
        </w:rPr>
        <w:t>。</w:t>
      </w:r>
    </w:p>
    <w:p w14:paraId="1EEF84A6">
      <w:pPr>
        <w:spacing w:line="360" w:lineRule="auto"/>
        <w:ind w:firstLine="424" w:firstLineChars="177"/>
        <w:jc w:val="left"/>
        <w:rPr>
          <w:rFonts w:asciiTheme="minorEastAsia" w:hAnsiTheme="minorEastAsia"/>
          <w:sz w:val="24"/>
          <w:szCs w:val="24"/>
        </w:rPr>
      </w:pPr>
      <w:r>
        <w:rPr>
          <w:rFonts w:hint="eastAsia" w:asciiTheme="minorEastAsia" w:hAnsiTheme="minorEastAsia"/>
          <w:sz w:val="24"/>
          <w:szCs w:val="24"/>
        </w:rPr>
        <w:t>5.3 投标文件的澄清</w:t>
      </w:r>
    </w:p>
    <w:p w14:paraId="3486757A">
      <w:pPr>
        <w:spacing w:line="360" w:lineRule="auto"/>
        <w:ind w:firstLine="424" w:firstLineChars="177"/>
        <w:rPr>
          <w:rFonts w:asciiTheme="minorEastAsia" w:hAnsiTheme="minorEastAsia"/>
          <w:sz w:val="24"/>
          <w:szCs w:val="24"/>
        </w:rPr>
      </w:pPr>
      <w:r>
        <w:rPr>
          <w:rFonts w:hint="eastAsia" w:asciiTheme="minorEastAsia" w:hAnsiTheme="minorEastAsia"/>
          <w:sz w:val="24"/>
          <w:szCs w:val="24"/>
        </w:rPr>
        <w:t>5.3.1 在评标过程中，评标委员会可以电话会议或书面形式要求投标人对投标文件中含义不明确、对同类问题表述不一致或者有明显文字和计算错误的内容作必要的澄清、说明或补正。澄清、说明或补正应以书面方式进行。</w:t>
      </w:r>
    </w:p>
    <w:p w14:paraId="0377F068">
      <w:pPr>
        <w:spacing w:line="360" w:lineRule="auto"/>
        <w:ind w:firstLine="424" w:firstLineChars="177"/>
        <w:rPr>
          <w:rFonts w:asciiTheme="minorEastAsia" w:hAnsiTheme="minorEastAsia"/>
          <w:sz w:val="24"/>
          <w:szCs w:val="24"/>
        </w:rPr>
      </w:pPr>
    </w:p>
    <w:p w14:paraId="44B8FD17">
      <w:pPr>
        <w:pStyle w:val="4"/>
        <w:widowControl/>
        <w:numPr>
          <w:numId w:val="0"/>
        </w:numPr>
        <w:shd w:val="clear" w:color="auto" w:fill="FFFFFF"/>
        <w:spacing w:line="360" w:lineRule="auto"/>
        <w:ind w:leftChars="0"/>
        <w:jc w:val="left"/>
        <w:outlineLvl w:val="1"/>
        <w:rPr>
          <w:rFonts w:cs="Arial" w:asciiTheme="minorEastAsia" w:hAnsiTheme="minorEastAsia"/>
          <w:b/>
          <w:kern w:val="0"/>
          <w:sz w:val="32"/>
          <w:szCs w:val="32"/>
        </w:rPr>
      </w:pPr>
      <w:r>
        <w:rPr>
          <w:rFonts w:hint="eastAsia" w:cs="Arial" w:asciiTheme="minorEastAsia" w:hAnsiTheme="minorEastAsia"/>
          <w:b/>
          <w:kern w:val="0"/>
          <w:sz w:val="32"/>
          <w:szCs w:val="32"/>
          <w:lang w:val="en-US" w:eastAsia="zh-CN"/>
        </w:rPr>
        <w:t>六、</w:t>
      </w:r>
      <w:bookmarkStart w:id="5" w:name="_GoBack"/>
      <w:bookmarkEnd w:id="5"/>
      <w:r>
        <w:rPr>
          <w:rFonts w:hint="eastAsia" w:cs="Arial" w:asciiTheme="minorEastAsia" w:hAnsiTheme="minorEastAsia"/>
          <w:b/>
          <w:kern w:val="0"/>
          <w:sz w:val="32"/>
          <w:szCs w:val="32"/>
        </w:rPr>
        <w:t>投标文件的递交</w:t>
      </w:r>
    </w:p>
    <w:p w14:paraId="60C58FD4">
      <w:pPr>
        <w:pStyle w:val="4"/>
        <w:numPr>
          <w:ilvl w:val="0"/>
          <w:numId w:val="9"/>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投标文件提交的截止时间为：</w:t>
      </w:r>
      <w:r>
        <w:rPr>
          <w:rFonts w:asciiTheme="minorEastAsia" w:hAnsiTheme="minorEastAsia"/>
          <w:sz w:val="24"/>
          <w:szCs w:val="24"/>
        </w:rPr>
        <w:t>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12</w:t>
      </w:r>
      <w:r>
        <w:rPr>
          <w:rFonts w:hint="eastAsia" w:asciiTheme="minorEastAsia" w:hAnsiTheme="minorEastAsia"/>
          <w:sz w:val="24"/>
          <w:szCs w:val="24"/>
        </w:rPr>
        <w:t>月</w:t>
      </w:r>
      <w:r>
        <w:rPr>
          <w:rFonts w:hint="eastAsia" w:asciiTheme="minorEastAsia" w:hAnsiTheme="minorEastAsia"/>
          <w:sz w:val="24"/>
          <w:szCs w:val="24"/>
          <w:lang w:val="en-US" w:eastAsia="zh-CN"/>
        </w:rPr>
        <w:t>18</w:t>
      </w:r>
      <w:r>
        <w:rPr>
          <w:rFonts w:hint="eastAsia" w:asciiTheme="minorEastAsia" w:hAnsiTheme="minorEastAsia"/>
          <w:sz w:val="24"/>
          <w:szCs w:val="24"/>
        </w:rPr>
        <w:t>日1</w:t>
      </w:r>
      <w:r>
        <w:rPr>
          <w:rFonts w:hint="eastAsia" w:asciiTheme="minorEastAsia" w:hAnsiTheme="minorEastAsia"/>
          <w:sz w:val="24"/>
          <w:szCs w:val="24"/>
          <w:lang w:val="en-US" w:eastAsia="zh-CN"/>
        </w:rPr>
        <w:t>7</w:t>
      </w:r>
      <w:r>
        <w:rPr>
          <w:rFonts w:hint="eastAsia" w:asciiTheme="minorEastAsia" w:hAnsiTheme="minorEastAsia"/>
          <w:sz w:val="24"/>
          <w:szCs w:val="24"/>
        </w:rPr>
        <w:t>:00，逾期则投标书无效。</w:t>
      </w:r>
    </w:p>
    <w:p w14:paraId="1D5E760F">
      <w:pPr>
        <w:pStyle w:val="4"/>
        <w:numPr>
          <w:ilvl w:val="0"/>
          <w:numId w:val="9"/>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投标文件的组成：</w:t>
      </w:r>
    </w:p>
    <w:p w14:paraId="348A24C1">
      <w:pPr>
        <w:pStyle w:val="4"/>
        <w:numPr>
          <w:ilvl w:val="0"/>
          <w:numId w:val="10"/>
        </w:numPr>
        <w:snapToGrid w:val="0"/>
        <w:spacing w:line="360" w:lineRule="auto"/>
        <w:ind w:firstLine="6" w:firstLineChars="0"/>
        <w:jc w:val="left"/>
        <w:rPr>
          <w:rStyle w:val="5"/>
          <w:rFonts w:asciiTheme="minorEastAsia" w:hAnsiTheme="minorEastAsia"/>
          <w:lang w:val="zh-CN"/>
        </w:rPr>
      </w:pPr>
      <w:r>
        <w:rPr>
          <w:rStyle w:val="5"/>
          <w:rFonts w:hint="eastAsia" w:asciiTheme="minorEastAsia" w:hAnsiTheme="minorEastAsia"/>
          <w:lang w:val="zh-CN"/>
        </w:rPr>
        <w:t xml:space="preserve">纸质标书 </w:t>
      </w:r>
    </w:p>
    <w:p w14:paraId="06478273">
      <w:pPr>
        <w:pStyle w:val="4"/>
        <w:numPr>
          <w:ilvl w:val="0"/>
          <w:numId w:val="10"/>
        </w:numPr>
        <w:snapToGrid w:val="0"/>
        <w:spacing w:line="360" w:lineRule="auto"/>
        <w:ind w:firstLine="6" w:firstLineChars="0"/>
        <w:jc w:val="left"/>
        <w:rPr>
          <w:rStyle w:val="5"/>
          <w:rFonts w:asciiTheme="minorEastAsia" w:hAnsiTheme="minorEastAsia"/>
          <w:szCs w:val="24"/>
        </w:rPr>
      </w:pPr>
      <w:r>
        <w:rPr>
          <w:rStyle w:val="5"/>
          <w:rFonts w:hint="eastAsia" w:asciiTheme="minorEastAsia" w:hAnsiTheme="minorEastAsia"/>
          <w:lang w:val="zh-CN"/>
        </w:rPr>
        <w:t>说明：纸质投标文件</w:t>
      </w:r>
      <w:r>
        <w:rPr>
          <w:rStyle w:val="5"/>
          <w:rFonts w:hint="eastAsia" w:asciiTheme="minorEastAsia" w:hAnsiTheme="minorEastAsia"/>
          <w:lang w:val="en-US" w:eastAsia="zh-CN"/>
        </w:rPr>
        <w:t>2</w:t>
      </w:r>
      <w:r>
        <w:rPr>
          <w:rStyle w:val="5"/>
          <w:rFonts w:hint="eastAsia" w:asciiTheme="minorEastAsia" w:hAnsiTheme="minorEastAsia"/>
          <w:lang w:val="zh-CN"/>
        </w:rPr>
        <w:t>份，正本</w:t>
      </w:r>
      <w:r>
        <w:rPr>
          <w:rStyle w:val="5"/>
          <w:rFonts w:hint="eastAsia" w:asciiTheme="minorEastAsia" w:hAnsiTheme="minorEastAsia"/>
          <w:lang w:val="en-US" w:eastAsia="zh-CN"/>
        </w:rPr>
        <w:t>1份，副本1份</w:t>
      </w:r>
      <w:r>
        <w:rPr>
          <w:rStyle w:val="5"/>
          <w:rFonts w:hint="eastAsia" w:asciiTheme="minorEastAsia" w:hAnsiTheme="minorEastAsia"/>
          <w:lang w:val="zh-CN"/>
        </w:rPr>
        <w:t>。（投标文件需密封并加盖公章）</w:t>
      </w:r>
    </w:p>
    <w:p w14:paraId="23EDB52F">
      <w:pPr>
        <w:pStyle w:val="4"/>
        <w:numPr>
          <w:ilvl w:val="0"/>
          <w:numId w:val="9"/>
        </w:numPr>
        <w:spacing w:line="360" w:lineRule="auto"/>
        <w:ind w:left="426" w:right="-143" w:rightChars="-68" w:hanging="426" w:firstLineChars="0"/>
        <w:rPr>
          <w:rFonts w:asciiTheme="minorEastAsia" w:hAnsiTheme="minorEastAsia"/>
          <w:sz w:val="24"/>
          <w:szCs w:val="24"/>
        </w:rPr>
      </w:pPr>
      <w:bookmarkStart w:id="4" w:name="_Toc389065128"/>
      <w:r>
        <w:rPr>
          <w:rFonts w:hint="eastAsia" w:asciiTheme="minorEastAsia" w:hAnsiTheme="minorEastAsia"/>
          <w:sz w:val="24"/>
          <w:szCs w:val="24"/>
        </w:rPr>
        <w:t>招标机构名称：重庆冠达世纪游轮有限公司</w:t>
      </w:r>
    </w:p>
    <w:p w14:paraId="3A8DF48A">
      <w:pPr>
        <w:pStyle w:val="4"/>
        <w:spacing w:line="360" w:lineRule="auto"/>
        <w:ind w:left="426" w:right="-143" w:rightChars="-68" w:firstLine="0" w:firstLineChars="0"/>
        <w:rPr>
          <w:rFonts w:asciiTheme="minorEastAsia" w:hAnsiTheme="minorEastAsia"/>
          <w:sz w:val="24"/>
          <w:szCs w:val="24"/>
        </w:rPr>
      </w:pPr>
      <w:r>
        <w:rPr>
          <w:rFonts w:hint="eastAsia" w:asciiTheme="minorEastAsia" w:hAnsiTheme="minorEastAsia"/>
          <w:sz w:val="24"/>
          <w:szCs w:val="24"/>
        </w:rPr>
        <w:t>详细地址：重庆市江北区庆云路6号国金中心T5写字楼18层</w:t>
      </w:r>
    </w:p>
    <w:p w14:paraId="08F85FFA">
      <w:pPr>
        <w:pStyle w:val="4"/>
        <w:spacing w:line="360" w:lineRule="auto"/>
        <w:ind w:left="426" w:right="-143" w:rightChars="-68" w:firstLine="0" w:firstLineChars="0"/>
        <w:rPr>
          <w:rFonts w:asciiTheme="minorEastAsia" w:hAnsiTheme="minorEastAsia"/>
          <w:sz w:val="24"/>
          <w:szCs w:val="24"/>
        </w:rPr>
      </w:pPr>
      <w:r>
        <w:rPr>
          <w:rFonts w:hint="eastAsia" w:asciiTheme="minorEastAsia" w:hAnsiTheme="minorEastAsia"/>
          <w:sz w:val="24"/>
          <w:szCs w:val="24"/>
        </w:rPr>
        <w:t>联 系 人：尧先生</w:t>
      </w:r>
    </w:p>
    <w:p w14:paraId="057495F6">
      <w:pPr>
        <w:pStyle w:val="4"/>
        <w:spacing w:line="360" w:lineRule="auto"/>
        <w:ind w:left="426" w:right="-143" w:rightChars="-68" w:firstLine="0" w:firstLineChars="0"/>
        <w:rPr>
          <w:rFonts w:hint="eastAsia" w:asciiTheme="minorEastAsia" w:hAnsiTheme="minorEastAsia"/>
          <w:sz w:val="24"/>
          <w:szCs w:val="24"/>
        </w:rPr>
      </w:pPr>
      <w:r>
        <w:rPr>
          <w:rFonts w:asciiTheme="minorEastAsia" w:hAnsiTheme="minorEastAsia"/>
          <w:sz w:val="24"/>
          <w:szCs w:val="24"/>
        </w:rPr>
        <w:t>电</w:t>
      </w:r>
      <w:r>
        <w:rPr>
          <w:rFonts w:hint="eastAsia" w:asciiTheme="minorEastAsia" w:hAnsiTheme="minorEastAsia"/>
          <w:sz w:val="24"/>
          <w:szCs w:val="24"/>
        </w:rPr>
        <w:t xml:space="preserve">    </w:t>
      </w:r>
      <w:r>
        <w:rPr>
          <w:rFonts w:asciiTheme="minorEastAsia" w:hAnsiTheme="minorEastAsia"/>
          <w:sz w:val="24"/>
          <w:szCs w:val="24"/>
        </w:rPr>
        <w:t>话：</w:t>
      </w:r>
      <w:r>
        <w:rPr>
          <w:rFonts w:hint="eastAsia" w:asciiTheme="minorEastAsia" w:hAnsiTheme="minorEastAsia"/>
          <w:sz w:val="24"/>
          <w:szCs w:val="24"/>
        </w:rPr>
        <w:t>023-67996089</w:t>
      </w:r>
    </w:p>
    <w:bookmarkEnd w:id="4"/>
    <w:p w14:paraId="3898A9BF">
      <w:pPr>
        <w:pStyle w:val="4"/>
        <w:numPr>
          <w:ilvl w:val="0"/>
          <w:numId w:val="9"/>
        </w:numPr>
        <w:spacing w:line="360" w:lineRule="auto"/>
        <w:ind w:left="426" w:right="-143" w:rightChars="-68" w:hanging="426" w:firstLineChars="0"/>
        <w:rPr>
          <w:rFonts w:hint="eastAsia" w:asciiTheme="minorEastAsia" w:hAnsiTheme="minorEastAsia"/>
          <w:sz w:val="24"/>
          <w:szCs w:val="24"/>
        </w:rPr>
      </w:pPr>
      <w:r>
        <w:rPr>
          <w:rFonts w:hint="eastAsia" w:asciiTheme="minorEastAsia" w:hAnsiTheme="minorEastAsia"/>
          <w:sz w:val="24"/>
          <w:szCs w:val="24"/>
        </w:rPr>
        <w:t>项目咨询：</w:t>
      </w:r>
    </w:p>
    <w:p w14:paraId="03E63E2E">
      <w:pPr>
        <w:pStyle w:val="4"/>
        <w:spacing w:line="360" w:lineRule="auto"/>
        <w:ind w:left="426" w:right="-143" w:rightChars="-68" w:firstLine="0" w:firstLineChars="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联系人：</w:t>
      </w:r>
      <w:r>
        <w:rPr>
          <w:rFonts w:hint="eastAsia" w:asciiTheme="minorEastAsia" w:hAnsiTheme="minorEastAsia"/>
          <w:sz w:val="24"/>
          <w:szCs w:val="24"/>
          <w:lang w:val="en-US" w:eastAsia="zh-CN"/>
        </w:rPr>
        <w:t>朱女士</w:t>
      </w:r>
    </w:p>
    <w:p w14:paraId="7FEE95FE">
      <w:pPr>
        <w:pStyle w:val="4"/>
        <w:spacing w:line="360" w:lineRule="auto"/>
        <w:ind w:left="426" w:right="-143" w:rightChars="-68" w:firstLine="0" w:firstLineChars="0"/>
        <w:rPr>
          <w:rFonts w:hint="default" w:asciiTheme="minorEastAsia" w:hAnsiTheme="minorEastAsia" w:eastAsiaTheme="minorEastAsia"/>
          <w:sz w:val="24"/>
          <w:szCs w:val="24"/>
          <w:lang w:val="en-US" w:eastAsia="zh-CN"/>
        </w:rPr>
      </w:pPr>
      <w:r>
        <w:rPr>
          <w:rFonts w:asciiTheme="minorEastAsia" w:hAnsiTheme="minorEastAsia"/>
          <w:sz w:val="24"/>
          <w:szCs w:val="24"/>
        </w:rPr>
        <w:t>电</w:t>
      </w:r>
      <w:r>
        <w:rPr>
          <w:rFonts w:hint="eastAsia" w:asciiTheme="minorEastAsia" w:hAnsiTheme="minorEastAsia"/>
          <w:sz w:val="24"/>
          <w:szCs w:val="24"/>
        </w:rPr>
        <w:t xml:space="preserve">  </w:t>
      </w:r>
      <w:r>
        <w:rPr>
          <w:rFonts w:asciiTheme="minorEastAsia" w:hAnsiTheme="minorEastAsia"/>
          <w:sz w:val="24"/>
          <w:szCs w:val="24"/>
        </w:rPr>
        <w:t>话：</w:t>
      </w:r>
      <w:r>
        <w:rPr>
          <w:rFonts w:hint="eastAsia" w:asciiTheme="minorEastAsia" w:hAnsiTheme="minorEastAsia"/>
          <w:sz w:val="24"/>
          <w:szCs w:val="24"/>
          <w:lang w:val="en-US" w:eastAsia="zh-CN"/>
        </w:rPr>
        <w:t>13452025000（微信同号）</w:t>
      </w:r>
    </w:p>
    <w:p w14:paraId="138A4D6B">
      <w:pPr>
        <w:pStyle w:val="4"/>
        <w:numPr>
          <w:ilvl w:val="0"/>
          <w:numId w:val="9"/>
        </w:numPr>
        <w:spacing w:line="360" w:lineRule="auto"/>
        <w:ind w:left="426" w:right="-143" w:rightChars="-68" w:hanging="426" w:firstLineChars="0"/>
        <w:rPr>
          <w:rFonts w:asciiTheme="minorEastAsia" w:hAnsiTheme="minorEastAsia"/>
          <w:sz w:val="24"/>
          <w:szCs w:val="24"/>
        </w:rPr>
      </w:pPr>
      <w:r>
        <w:rPr>
          <w:rFonts w:hint="eastAsia" w:asciiTheme="minorEastAsia" w:hAnsiTheme="minorEastAsia"/>
          <w:sz w:val="24"/>
          <w:szCs w:val="24"/>
        </w:rPr>
        <w:t>开标时间：202</w:t>
      </w:r>
      <w:r>
        <w:rPr>
          <w:rFonts w:hint="eastAsia" w:asciiTheme="minorEastAsia" w:hAnsiTheme="minorEastAsia"/>
          <w:sz w:val="24"/>
          <w:szCs w:val="24"/>
          <w:lang w:val="en-US" w:eastAsia="zh-CN"/>
        </w:rPr>
        <w:t>5</w:t>
      </w:r>
      <w:r>
        <w:rPr>
          <w:rFonts w:hint="eastAsia" w:asciiTheme="minorEastAsia" w:hAnsiTheme="minorEastAsia"/>
          <w:sz w:val="24"/>
          <w:szCs w:val="24"/>
        </w:rPr>
        <w:t>年</w:t>
      </w:r>
      <w:r>
        <w:rPr>
          <w:rFonts w:hint="eastAsia" w:asciiTheme="minorEastAsia" w:hAnsiTheme="minorEastAsia"/>
          <w:sz w:val="24"/>
          <w:szCs w:val="24"/>
          <w:lang w:val="en-US" w:eastAsia="zh-CN"/>
        </w:rPr>
        <w:t>12</w:t>
      </w:r>
      <w:r>
        <w:rPr>
          <w:rFonts w:hint="eastAsia" w:asciiTheme="minorEastAsia" w:hAnsiTheme="minorEastAsia"/>
          <w:sz w:val="24"/>
          <w:szCs w:val="24"/>
        </w:rPr>
        <w:t>月</w:t>
      </w:r>
      <w:r>
        <w:rPr>
          <w:rFonts w:hint="eastAsia" w:asciiTheme="minorEastAsia" w:hAnsiTheme="minorEastAsia"/>
          <w:sz w:val="24"/>
          <w:szCs w:val="24"/>
          <w:lang w:val="en-US" w:eastAsia="zh-CN"/>
        </w:rPr>
        <w:t>19</w:t>
      </w:r>
      <w:r>
        <w:rPr>
          <w:rFonts w:hint="eastAsia" w:asciiTheme="minorEastAsia" w:hAnsiTheme="minorEastAsia"/>
          <w:sz w:val="24"/>
          <w:szCs w:val="24"/>
        </w:rPr>
        <w:t>日，需投标方</w:t>
      </w:r>
      <w:r>
        <w:rPr>
          <w:rFonts w:hint="eastAsia" w:asciiTheme="minorEastAsia" w:hAnsiTheme="minorEastAsia"/>
          <w:sz w:val="24"/>
          <w:szCs w:val="24"/>
          <w:lang w:val="en-US" w:eastAsia="zh-CN"/>
        </w:rPr>
        <w:t>线上</w:t>
      </w:r>
      <w:r>
        <w:rPr>
          <w:rFonts w:hint="eastAsia" w:asciiTheme="minorEastAsia" w:hAnsiTheme="minorEastAsia"/>
          <w:sz w:val="24"/>
          <w:szCs w:val="24"/>
        </w:rPr>
        <w:t>讲标、议标，具体时间另行通知。</w:t>
      </w:r>
    </w:p>
    <w:p w14:paraId="0A524151">
      <w:pPr>
        <w:numPr>
          <w:ilvl w:val="0"/>
          <w:numId w:val="0"/>
        </w:numPr>
        <w:ind w:leftChars="200"/>
        <w:rPr>
          <w:rFonts w:hint="eastAsia" w:ascii="Segoe UI Emoji" w:hAnsi="Segoe UI Emoji" w:eastAsia="Segoe UI Emoji" w:cs="Segoe UI Emoji"/>
          <w:i w:val="0"/>
          <w:iCs w:val="0"/>
          <w:caps w:val="0"/>
          <w:color w:val="1F2329"/>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Emoji">
    <w:panose1 w:val="020B0502040204020203"/>
    <w:charset w:val="00"/>
    <w:family w:val="auto"/>
    <w:pitch w:val="default"/>
    <w:sig w:usb0="00000001" w:usb1="02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4D58E"/>
    <w:multiLevelType w:val="multilevel"/>
    <w:tmpl w:val="EFF4D5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A266CFF"/>
    <w:multiLevelType w:val="multilevel"/>
    <w:tmpl w:val="1A266CFF"/>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1A863D3"/>
    <w:multiLevelType w:val="multilevel"/>
    <w:tmpl w:val="21A863D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CF36DA"/>
    <w:multiLevelType w:val="multilevel"/>
    <w:tmpl w:val="21CF36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06E0F55"/>
    <w:multiLevelType w:val="multilevel"/>
    <w:tmpl w:val="406E0F5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8936DE9"/>
    <w:multiLevelType w:val="multilevel"/>
    <w:tmpl w:val="48936D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4545CBD"/>
    <w:multiLevelType w:val="multilevel"/>
    <w:tmpl w:val="54545CB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A4252C2"/>
    <w:multiLevelType w:val="multilevel"/>
    <w:tmpl w:val="5A4252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BCC3668"/>
    <w:multiLevelType w:val="multilevel"/>
    <w:tmpl w:val="6BCC3668"/>
    <w:lvl w:ilvl="0" w:tentative="0">
      <w:start w:val="1"/>
      <w:numFmt w:val="decimal"/>
      <w:lvlText w:val="%1、"/>
      <w:lvlJc w:val="left"/>
      <w:pPr>
        <w:ind w:left="986"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7A735A33"/>
    <w:multiLevelType w:val="multilevel"/>
    <w:tmpl w:val="7A735A3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3"/>
  </w:num>
  <w:num w:numId="3">
    <w:abstractNumId w:val="0"/>
  </w:num>
  <w:num w:numId="4">
    <w:abstractNumId w:val="4"/>
  </w:num>
  <w:num w:numId="5">
    <w:abstractNumId w:val="6"/>
  </w:num>
  <w:num w:numId="6">
    <w:abstractNumId w:val="2"/>
  </w:num>
  <w:num w:numId="7">
    <w:abstractNumId w:val="9"/>
  </w:num>
  <w:num w:numId="8">
    <w:abstractNumId w:val="5"/>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5A2749"/>
    <w:rsid w:val="127755E0"/>
    <w:rsid w:val="1D5A2749"/>
    <w:rsid w:val="48136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styleId="4">
    <w:name w:val="List Paragraph"/>
    <w:basedOn w:val="1"/>
    <w:autoRedefine/>
    <w:qFormat/>
    <w:uiPriority w:val="1"/>
    <w:pPr>
      <w:ind w:firstLine="420" w:firstLineChars="200"/>
    </w:pPr>
  </w:style>
  <w:style w:type="character" w:customStyle="1" w:styleId="5">
    <w:name w:val="NormalCharacter"/>
    <w:link w:val="6"/>
    <w:autoRedefine/>
    <w:qFormat/>
    <w:uiPriority w:val="0"/>
    <w:rPr>
      <w:rFonts w:ascii="Tahoma" w:hAnsi="Tahoma"/>
      <w:sz w:val="24"/>
      <w:szCs w:val="20"/>
    </w:rPr>
  </w:style>
  <w:style w:type="paragraph" w:customStyle="1" w:styleId="6">
    <w:name w:val="UserStyle_85"/>
    <w:basedOn w:val="1"/>
    <w:link w:val="5"/>
    <w:autoRedefine/>
    <w:qFormat/>
    <w:uiPriority w:val="0"/>
    <w:rPr>
      <w:rFonts w:ascii="Tahoma" w:hAnsi="Tahoma"/>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3449</Words>
  <Characters>3679</Characters>
  <Lines>0</Lines>
  <Paragraphs>0</Paragraphs>
  <TotalTime>1</TotalTime>
  <ScaleCrop>false</ScaleCrop>
  <LinksUpToDate>false</LinksUpToDate>
  <CharactersWithSpaces>3734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2025-12-09T09:06:00Z</dcterms:created>
  <dc:creator>Von</dc:creator>
  <cp:lastModifiedBy>悦归子</cp:lastModifiedBy>
  <dcterms:modified xsi:type="dcterms:W3CDTF">2025-12-12T07:13:23Z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89FC318AFC0B46B8A86742E45A981A40_11</vt:lpwstr>
  </property>
  <property fmtid="{D5CDD505-2E9C-101B-9397-08002B2CF9AE}" pid="4" name="KSOTemplateDocerSaveRecord">
    <vt:lpwstr>eyJoZGlkIjoiNDlkYmY0ZWNiMzUxYmNmZjE1MDAyYzc3OTVmNzRiZGMiLCJ1c2VySWQiOiI5NzA2NTIzMjEifQ==</vt:lpwstr>
  </property>
</Properties>
</file>