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56697">
      <w:pPr>
        <w:spacing w:line="360" w:lineRule="auto"/>
        <w:jc w:val="center"/>
        <w:rPr>
          <w:rFonts w:asciiTheme="minorEastAsia" w:hAnsiTheme="minorEastAsia"/>
          <w:b/>
          <w:bCs/>
          <w:color w:val="auto"/>
          <w:sz w:val="36"/>
          <w:szCs w:val="24"/>
        </w:rPr>
      </w:pPr>
      <w:r>
        <w:rPr>
          <w:rFonts w:hint="eastAsia" w:asciiTheme="minorEastAsia" w:hAnsiTheme="minorEastAsia"/>
          <w:b/>
          <w:bCs/>
          <w:color w:val="auto"/>
          <w:sz w:val="36"/>
          <w:szCs w:val="24"/>
        </w:rPr>
        <w:t>重庆冠达世纪游轮有限公司招标公告</w:t>
      </w:r>
    </w:p>
    <w:p w14:paraId="212C97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color w:val="auto"/>
          <w:sz w:val="24"/>
          <w:szCs w:val="24"/>
        </w:rPr>
      </w:pPr>
      <w:r>
        <w:rPr>
          <w:rFonts w:ascii="宋体" w:hAnsi="宋体" w:eastAsia="宋体" w:cs="宋体"/>
          <w:color w:val="auto"/>
          <w:sz w:val="24"/>
          <w:szCs w:val="24"/>
        </w:rPr>
        <w:t>重庆冠达世纪游轮有限公司前身系深圳中小板上市企业重庆新世纪游轮股份有限公司，为“长江航运IPO第一股、游轮第一股”。公司经过30年多年的发展，现已成为集游轮设计建造、运营服务、港口接待管理为一体的全产业链企业，坚定不移推进游轮旅游的高质量发展，并以全球化布局，构建大游轮、大旅游国际体系。</w:t>
      </w:r>
    </w:p>
    <w:p w14:paraId="545DAE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olor w:val="auto"/>
          <w:sz w:val="24"/>
          <w:szCs w:val="24"/>
        </w:rPr>
      </w:pPr>
      <w:r>
        <w:rPr>
          <w:rFonts w:ascii="宋体" w:hAnsi="宋体" w:eastAsia="宋体" w:cs="宋体"/>
          <w:color w:val="auto"/>
          <w:sz w:val="24"/>
          <w:szCs w:val="24"/>
        </w:rPr>
        <w:t>公司拥有12艘长江最先进最豪华最大体量的五星级游轮旗舰船队，业务涵盖中国内河豪华游轮、观光游轮、欧洲内河游轮、海洋邮轮、中国出境旅游、北美全域旅游、精品旅游互联网资源整合平台等板块，作为长江上集游轮自主设计、自行建造、自力运营、自主营销为一体的全产业链公司，是安全、绿色、科技、智能、舒适的行业标准先行者。</w:t>
      </w:r>
    </w:p>
    <w:p w14:paraId="1A9723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olor w:val="auto"/>
          <w:sz w:val="24"/>
          <w:szCs w:val="24"/>
        </w:rPr>
      </w:pPr>
      <w:r>
        <w:rPr>
          <w:rFonts w:hint="eastAsia" w:asciiTheme="minorEastAsia" w:hAnsiTheme="minorEastAsia"/>
          <w:color w:val="auto"/>
          <w:sz w:val="24"/>
          <w:szCs w:val="24"/>
        </w:rPr>
        <w:t>本项目</w:t>
      </w:r>
      <w:r>
        <w:rPr>
          <w:rFonts w:hint="eastAsia" w:asciiTheme="minorEastAsia" w:hAnsiTheme="minorEastAsia"/>
          <w:color w:val="auto"/>
          <w:sz w:val="24"/>
          <w:szCs w:val="24"/>
          <w:u w:val="single"/>
          <w:lang w:val="en-US" w:eastAsia="zh-CN"/>
        </w:rPr>
        <w:t xml:space="preserve"> </w:t>
      </w:r>
      <w:bookmarkStart w:id="13" w:name="_GoBack"/>
      <w:r>
        <w:rPr>
          <w:rFonts w:hint="eastAsia" w:asciiTheme="minorEastAsia" w:hAnsiTheme="minorEastAsia"/>
          <w:b/>
          <w:bCs/>
          <w:color w:val="auto"/>
          <w:sz w:val="24"/>
          <w:szCs w:val="24"/>
          <w:u w:val="single"/>
          <w:lang w:val="en-US" w:eastAsia="zh-CN"/>
        </w:rPr>
        <w:t>2026</w:t>
      </w:r>
      <w:r>
        <w:rPr>
          <w:rFonts w:hint="eastAsia" w:asciiTheme="minorEastAsia" w:hAnsiTheme="minorEastAsia"/>
          <w:b/>
          <w:bCs/>
          <w:color w:val="auto"/>
          <w:sz w:val="24"/>
          <w:szCs w:val="24"/>
          <w:u w:val="single"/>
        </w:rPr>
        <w:t>联合小红书官方开展“春节+开航季”品牌宣传活动项目招标</w:t>
      </w:r>
      <w:bookmarkEnd w:id="13"/>
      <w:r>
        <w:rPr>
          <w:rFonts w:hint="eastAsia" w:asciiTheme="minorEastAsia" w:hAnsiTheme="minorEastAsia"/>
          <w:color w:val="auto"/>
          <w:sz w:val="24"/>
          <w:szCs w:val="24"/>
          <w:u w:val="single"/>
          <w:lang w:val="en-US" w:eastAsia="zh-CN"/>
        </w:rPr>
        <w:t xml:space="preserve"> </w:t>
      </w:r>
      <w:r>
        <w:rPr>
          <w:rFonts w:hint="eastAsia" w:asciiTheme="minorEastAsia" w:hAnsiTheme="minorEastAsia"/>
          <w:color w:val="auto"/>
          <w:sz w:val="24"/>
          <w:szCs w:val="24"/>
        </w:rPr>
        <w:t>资金来自</w:t>
      </w:r>
      <w:r>
        <w:rPr>
          <w:rFonts w:hint="eastAsia" w:asciiTheme="minorEastAsia" w:hAnsiTheme="minorEastAsia"/>
          <w:color w:val="auto"/>
          <w:sz w:val="24"/>
          <w:szCs w:val="24"/>
          <w:u w:val="single"/>
        </w:rPr>
        <w:t xml:space="preserve"> 自筹资金 </w:t>
      </w:r>
      <w:r>
        <w:rPr>
          <w:rFonts w:hint="eastAsia" w:asciiTheme="minorEastAsia" w:hAnsiTheme="minorEastAsia"/>
          <w:color w:val="auto"/>
          <w:sz w:val="24"/>
          <w:szCs w:val="24"/>
        </w:rPr>
        <w:t>已全部到位。项目已具备招标条件，现对该项目进行公开招标。</w:t>
      </w:r>
    </w:p>
    <w:p w14:paraId="3A9C8909">
      <w:pPr>
        <w:spacing w:line="360" w:lineRule="auto"/>
        <w:ind w:firstLine="480"/>
        <w:rPr>
          <w:rFonts w:asciiTheme="minorEastAsia" w:hAnsiTheme="minorEastAsia"/>
          <w:color w:val="auto"/>
          <w:sz w:val="24"/>
          <w:szCs w:val="24"/>
        </w:rPr>
      </w:pPr>
    </w:p>
    <w:p w14:paraId="6B0410A2">
      <w:pPr>
        <w:pStyle w:val="19"/>
        <w:widowControl/>
        <w:numPr>
          <w:ilvl w:val="0"/>
          <w:numId w:val="1"/>
        </w:numPr>
        <w:shd w:val="clear" w:color="auto" w:fill="FFFFFF"/>
        <w:spacing w:line="360" w:lineRule="auto"/>
        <w:ind w:firstLineChars="0"/>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lang w:val="en-US" w:eastAsia="zh-CN"/>
        </w:rPr>
        <w:t>投标前置条件</w:t>
      </w:r>
    </w:p>
    <w:p w14:paraId="2960A2DD">
      <w:pPr>
        <w:numPr>
          <w:ilvl w:val="0"/>
          <w:numId w:val="2"/>
        </w:numPr>
        <w:spacing w:line="360" w:lineRule="auto"/>
        <w:rPr>
          <w:rFonts w:hint="eastAsia" w:ascii="宋体" w:hAnsi="宋体" w:eastAsia="宋体" w:cs="宋体"/>
          <w:color w:val="auto"/>
          <w:sz w:val="24"/>
          <w:szCs w:val="24"/>
          <w:lang w:eastAsia="zh-CN"/>
        </w:rPr>
      </w:pPr>
      <w:bookmarkStart w:id="0" w:name="_Toc79576674"/>
      <w:bookmarkEnd w:id="0"/>
      <w:bookmarkStart w:id="1" w:name="_Toc389065123"/>
      <w:bookmarkEnd w:id="1"/>
      <w:bookmarkStart w:id="2" w:name="_Toc12609203"/>
      <w:bookmarkEnd w:id="2"/>
      <w:bookmarkStart w:id="3" w:name="_Toc407135050"/>
      <w:r>
        <w:rPr>
          <w:rFonts w:ascii="宋体" w:hAnsi="宋体" w:eastAsia="宋体" w:cs="宋体"/>
          <w:color w:val="auto"/>
          <w:sz w:val="24"/>
          <w:szCs w:val="24"/>
        </w:rPr>
        <w:t>投标单位必须符合但不限于《中华人民共和国政府采购法》第二十二条要求；</w:t>
      </w:r>
      <w:r>
        <w:rPr>
          <w:rFonts w:ascii="宋体" w:hAnsi="宋体" w:eastAsia="宋体" w:cs="宋体"/>
          <w:color w:val="auto"/>
          <w:sz w:val="24"/>
          <w:szCs w:val="24"/>
        </w:rPr>
        <w:br w:type="textWrapping"/>
      </w:r>
      <w:r>
        <w:rPr>
          <w:rFonts w:ascii="宋体" w:hAnsi="宋体" w:eastAsia="宋体" w:cs="宋体"/>
          <w:color w:val="auto"/>
          <w:sz w:val="24"/>
          <w:szCs w:val="24"/>
        </w:rPr>
        <w:t>2、投标单位在“信用中国”（www.creditchina.gov.cn）网站中未被列入失信被执行人、重大税收违法案件当事人名单、不限于政府采购严重违法失信行为记录名单</w:t>
      </w:r>
      <w:r>
        <w:rPr>
          <w:rFonts w:hint="eastAsia" w:ascii="宋体" w:hAnsi="宋体" w:eastAsia="宋体" w:cs="宋体"/>
          <w:color w:val="auto"/>
          <w:sz w:val="24"/>
          <w:szCs w:val="24"/>
          <w:lang w:eastAsia="zh-CN"/>
        </w:rPr>
        <w:t>；</w:t>
      </w:r>
      <w:r>
        <w:rPr>
          <w:rFonts w:ascii="宋体" w:hAnsi="宋体" w:eastAsia="宋体" w:cs="宋体"/>
          <w:color w:val="auto"/>
          <w:sz w:val="24"/>
          <w:szCs w:val="24"/>
        </w:rPr>
        <w:br w:type="textWrapping"/>
      </w:r>
      <w:r>
        <w:rPr>
          <w:rFonts w:ascii="宋体" w:hAnsi="宋体" w:eastAsia="宋体" w:cs="宋体"/>
          <w:color w:val="auto"/>
          <w:sz w:val="24"/>
          <w:szCs w:val="24"/>
        </w:rPr>
        <w:t>3、根据最高人民法院等9部门《关于在招标投标活动中对失信被执行人实施联合惩戒的通知》（法〔2016〕285号）规定，投标人不得为失信被执行人（以评标阶段通过“信用中国”网站（www.creditchina.gov.cn）查询的结果为准）</w:t>
      </w:r>
      <w:r>
        <w:rPr>
          <w:rFonts w:hint="eastAsia" w:ascii="宋体" w:hAnsi="宋体" w:eastAsia="宋体" w:cs="宋体"/>
          <w:color w:val="auto"/>
          <w:sz w:val="24"/>
          <w:szCs w:val="24"/>
          <w:lang w:eastAsia="zh-CN"/>
        </w:rPr>
        <w:t>；</w:t>
      </w:r>
      <w:r>
        <w:rPr>
          <w:rFonts w:ascii="宋体" w:hAnsi="宋体" w:eastAsia="宋体" w:cs="宋体"/>
          <w:color w:val="auto"/>
          <w:sz w:val="24"/>
          <w:szCs w:val="24"/>
        </w:rPr>
        <w:br w:type="textWrapping"/>
      </w:r>
      <w:r>
        <w:rPr>
          <w:rFonts w:ascii="宋体" w:hAnsi="宋体" w:eastAsia="宋体" w:cs="宋体"/>
          <w:color w:val="auto"/>
          <w:sz w:val="24"/>
          <w:szCs w:val="24"/>
        </w:rPr>
        <w:t>4、本次招标不接受联合体投标</w:t>
      </w:r>
      <w:r>
        <w:rPr>
          <w:rFonts w:hint="eastAsia" w:asciiTheme="minorEastAsia" w:hAnsiTheme="minorEastAsia"/>
          <w:color w:val="auto"/>
          <w:sz w:val="24"/>
          <w:szCs w:val="24"/>
          <w:lang w:val="en-US" w:eastAsia="zh-CN"/>
        </w:rPr>
        <w:t>及项目转包</w:t>
      </w:r>
      <w:r>
        <w:rPr>
          <w:rFonts w:hint="eastAsia" w:ascii="宋体" w:hAnsi="宋体" w:eastAsia="宋体" w:cs="宋体"/>
          <w:color w:val="auto"/>
          <w:sz w:val="24"/>
          <w:szCs w:val="24"/>
          <w:lang w:eastAsia="zh-CN"/>
        </w:rPr>
        <w:t>。</w:t>
      </w:r>
    </w:p>
    <w:p w14:paraId="0556B1D3">
      <w:pPr>
        <w:numPr>
          <w:ilvl w:val="0"/>
          <w:numId w:val="0"/>
        </w:numPr>
        <w:spacing w:line="360" w:lineRule="auto"/>
        <w:rPr>
          <w:rFonts w:hint="eastAsia" w:ascii="宋体" w:hAnsi="宋体" w:eastAsia="宋体" w:cs="宋体"/>
          <w:color w:val="auto"/>
          <w:sz w:val="24"/>
          <w:szCs w:val="24"/>
          <w:lang w:eastAsia="zh-CN"/>
        </w:rPr>
      </w:pPr>
    </w:p>
    <w:bookmarkEnd w:id="3"/>
    <w:p w14:paraId="59BC4C23">
      <w:pPr>
        <w:pStyle w:val="19"/>
        <w:widowControl/>
        <w:numPr>
          <w:ilvl w:val="0"/>
          <w:numId w:val="1"/>
        </w:numPr>
        <w:shd w:val="clear" w:color="auto" w:fill="FFFFFF"/>
        <w:spacing w:line="360" w:lineRule="auto"/>
        <w:ind w:firstLineChars="0"/>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项目基本情况</w:t>
      </w:r>
    </w:p>
    <w:p w14:paraId="516D99AD">
      <w:pPr>
        <w:pStyle w:val="19"/>
        <w:numPr>
          <w:ilvl w:val="0"/>
          <w:numId w:val="3"/>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项目名称：</w:t>
      </w:r>
      <w:r>
        <w:rPr>
          <w:rFonts w:hint="eastAsia" w:asciiTheme="minorEastAsia" w:hAnsiTheme="minorEastAsia"/>
          <w:color w:val="auto"/>
          <w:sz w:val="24"/>
          <w:szCs w:val="24"/>
          <w:u w:val="single"/>
          <w:lang w:val="en-US" w:eastAsia="zh-CN"/>
        </w:rPr>
        <w:t xml:space="preserve"> 2026</w:t>
      </w:r>
      <w:r>
        <w:rPr>
          <w:rFonts w:hint="eastAsia" w:asciiTheme="minorEastAsia" w:hAnsiTheme="minorEastAsia"/>
          <w:color w:val="auto"/>
          <w:sz w:val="24"/>
          <w:szCs w:val="24"/>
          <w:u w:val="single"/>
        </w:rPr>
        <w:t>联合小红书官方开展“春节+开航季”品牌宣传活动项目招标</w:t>
      </w:r>
      <w:r>
        <w:rPr>
          <w:rFonts w:hint="eastAsia" w:asciiTheme="minorEastAsia" w:hAnsiTheme="minorEastAsia"/>
          <w:color w:val="auto"/>
          <w:sz w:val="24"/>
          <w:szCs w:val="24"/>
          <w:u w:val="single"/>
          <w:lang w:val="en-US" w:eastAsia="zh-CN"/>
        </w:rPr>
        <w:t xml:space="preserve"> </w:t>
      </w:r>
    </w:p>
    <w:p w14:paraId="0AE61CB6">
      <w:pPr>
        <w:pStyle w:val="19"/>
        <w:numPr>
          <w:ilvl w:val="0"/>
          <w:numId w:val="3"/>
        </w:numPr>
        <w:spacing w:line="360" w:lineRule="auto"/>
        <w:ind w:left="426" w:right="-143" w:rightChars="-68" w:hanging="426" w:firstLineChars="0"/>
        <w:rPr>
          <w:rFonts w:asciiTheme="minorEastAsia" w:hAnsiTheme="minorEastAsia"/>
          <w:b/>
          <w:bCs/>
          <w:color w:val="auto"/>
          <w:sz w:val="24"/>
          <w:szCs w:val="24"/>
        </w:rPr>
      </w:pPr>
      <w:r>
        <w:rPr>
          <w:rFonts w:hint="eastAsia" w:asciiTheme="minorEastAsia" w:hAnsiTheme="minorEastAsia"/>
          <w:color w:val="auto"/>
          <w:sz w:val="24"/>
          <w:szCs w:val="24"/>
          <w:lang w:eastAsia="zh-CN"/>
        </w:rPr>
        <w:t>项目最高限标价</w:t>
      </w:r>
      <w:r>
        <w:rPr>
          <w:rFonts w:hint="eastAsia" w:asciiTheme="minorEastAsia" w:hAnsiTheme="minorEastAsia"/>
          <w:color w:val="auto"/>
          <w:sz w:val="24"/>
          <w:szCs w:val="24"/>
        </w:rPr>
        <w:t>：</w:t>
      </w:r>
      <w:r>
        <w:rPr>
          <w:rFonts w:hint="eastAsia" w:asciiTheme="minorEastAsia" w:hAnsiTheme="minorEastAsia"/>
          <w:b/>
          <w:bCs/>
          <w:color w:val="auto"/>
          <w:sz w:val="24"/>
          <w:szCs w:val="24"/>
          <w:lang w:val="en-US" w:eastAsia="zh-CN"/>
        </w:rPr>
        <w:t>390万元</w:t>
      </w:r>
    </w:p>
    <w:p w14:paraId="5C971837">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asciiTheme="minorEastAsia" w:hAnsiTheme="minorEastAsia"/>
          <w:color w:val="auto"/>
          <w:sz w:val="24"/>
          <w:szCs w:val="24"/>
        </w:rPr>
      </w:pPr>
      <w:r>
        <w:rPr>
          <w:rFonts w:hint="eastAsia" w:asciiTheme="minorEastAsia" w:hAnsiTheme="minorEastAsia"/>
          <w:color w:val="auto"/>
          <w:sz w:val="24"/>
          <w:szCs w:val="24"/>
        </w:rPr>
        <w:t>合同履行期限：</w:t>
      </w:r>
      <w:r>
        <w:rPr>
          <w:rFonts w:hint="eastAsia" w:asciiTheme="minorEastAsia" w:hAnsiTheme="minorEastAsia"/>
          <w:color w:val="auto"/>
          <w:sz w:val="24"/>
          <w:szCs w:val="24"/>
          <w:lang w:val="en-US" w:eastAsia="zh-CN"/>
        </w:rPr>
        <w:t>2025年12月-2026年3月，具体时限</w:t>
      </w:r>
      <w:r>
        <w:rPr>
          <w:rFonts w:hint="eastAsia" w:asciiTheme="minorEastAsia" w:hAnsiTheme="minorEastAsia"/>
          <w:color w:val="auto"/>
          <w:sz w:val="24"/>
          <w:szCs w:val="24"/>
        </w:rPr>
        <w:t>以实际签订的项目合同为准</w:t>
      </w:r>
      <w:r>
        <w:rPr>
          <w:rFonts w:hint="eastAsia" w:asciiTheme="minorEastAsia" w:hAnsiTheme="minorEastAsia"/>
          <w:color w:val="auto"/>
          <w:sz w:val="24"/>
          <w:szCs w:val="24"/>
          <w:lang w:eastAsia="zh-CN"/>
        </w:rPr>
        <w:t>。</w:t>
      </w:r>
    </w:p>
    <w:p w14:paraId="1DD2DEE7">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asciiTheme="minorEastAsia" w:hAnsiTheme="minorEastAsia"/>
          <w:color w:val="auto"/>
          <w:sz w:val="24"/>
          <w:szCs w:val="24"/>
        </w:rPr>
      </w:pPr>
      <w:r>
        <w:rPr>
          <w:rFonts w:hint="eastAsia" w:asciiTheme="minorEastAsia" w:hAnsiTheme="minorEastAsia"/>
          <w:color w:val="auto"/>
          <w:sz w:val="24"/>
          <w:szCs w:val="24"/>
        </w:rPr>
        <w:t>项目需求：负责</w:t>
      </w:r>
      <w:r>
        <w:rPr>
          <w:rFonts w:hint="eastAsia" w:asciiTheme="minorEastAsia" w:hAnsiTheme="minorEastAsia"/>
          <w:color w:val="auto"/>
          <w:sz w:val="24"/>
          <w:szCs w:val="24"/>
          <w:lang w:eastAsia="zh-CN"/>
        </w:rPr>
        <w:t>达成</w:t>
      </w:r>
      <w:r>
        <w:rPr>
          <w:rFonts w:hint="eastAsia" w:asciiTheme="minorEastAsia" w:hAnsiTheme="minorEastAsia"/>
          <w:color w:val="auto"/>
          <w:sz w:val="24"/>
          <w:szCs w:val="24"/>
        </w:rPr>
        <w:t>世纪游轮</w:t>
      </w:r>
      <w:r>
        <w:rPr>
          <w:rFonts w:hint="eastAsia" w:asciiTheme="minorEastAsia" w:hAnsiTheme="minorEastAsia"/>
          <w:color w:val="auto"/>
          <w:sz w:val="24"/>
          <w:szCs w:val="24"/>
          <w:lang w:val="en-US" w:eastAsia="zh-CN"/>
        </w:rPr>
        <w:t>2026联合小红书官方开展“春节+开航季”品牌宣传活动</w:t>
      </w:r>
      <w:r>
        <w:rPr>
          <w:rFonts w:hint="eastAsia" w:asciiTheme="minorEastAsia" w:hAnsiTheme="minorEastAsia"/>
          <w:color w:val="auto"/>
          <w:sz w:val="24"/>
          <w:szCs w:val="24"/>
          <w:lang w:eastAsia="zh-CN"/>
        </w:rPr>
        <w:t>的宣传推广目标，</w:t>
      </w:r>
      <w:r>
        <w:rPr>
          <w:rFonts w:hint="eastAsia" w:asciiTheme="minorEastAsia" w:hAnsiTheme="minorEastAsia"/>
          <w:color w:val="auto"/>
          <w:sz w:val="24"/>
          <w:szCs w:val="24"/>
          <w:lang w:val="en-US" w:eastAsia="zh-CN"/>
        </w:rPr>
        <w:t>详情请见附件一：项目服务要求。</w:t>
      </w:r>
    </w:p>
    <w:p w14:paraId="51F9A61D">
      <w:pPr>
        <w:pStyle w:val="1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0" w:firstLineChars="0"/>
        <w:textAlignment w:val="auto"/>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en-US" w:eastAsia="zh-CN"/>
        </w:rPr>
        <w:t>线下活动：包括但不限于完成主题航次航线定制规划；视觉物料设计、生产、搭建落地；现场统筹活动体验环节等。</w:t>
      </w:r>
    </w:p>
    <w:p w14:paraId="4FFBD978">
      <w:pPr>
        <w:pStyle w:val="1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0" w:firstLineChars="0"/>
        <w:textAlignment w:val="auto"/>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en-US" w:eastAsia="zh-CN"/>
        </w:rPr>
        <w:t>线上宣传：包括但不限于小红书IP资源采购、各项创意内容策划；招募全周期统筹运行；达人采购筛选、内容审核；硬广资源规划建议等。</w:t>
      </w:r>
    </w:p>
    <w:p w14:paraId="5BFCF0D8">
      <w:pPr>
        <w:pStyle w:val="1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0" w:firstLineChars="0"/>
        <w:textAlignment w:val="auto"/>
        <w:rPr>
          <w:rStyle w:val="24"/>
          <w:rFonts w:hint="eastAsia" w:eastAsia="宋体" w:cs="宋体" w:asciiTheme="minorEastAsia" w:hAnsiTheme="minorEastAsia"/>
          <w:color w:val="auto"/>
          <w:lang w:val="zh-CN" w:eastAsia="zh-CN"/>
        </w:rPr>
      </w:pPr>
      <w:r>
        <w:rPr>
          <w:rStyle w:val="24"/>
          <w:rFonts w:hint="eastAsia" w:eastAsia="宋体" w:cs="宋体" w:asciiTheme="minorEastAsia" w:hAnsiTheme="minorEastAsia"/>
          <w:color w:val="auto"/>
          <w:lang w:val="en-US" w:eastAsia="zh-CN"/>
        </w:rPr>
        <w:t>项目结束后</w:t>
      </w:r>
      <w:r>
        <w:rPr>
          <w:rStyle w:val="24"/>
          <w:rFonts w:hint="eastAsia" w:eastAsia="宋体" w:cs="宋体" w:asciiTheme="minorEastAsia" w:hAnsiTheme="minorEastAsia"/>
          <w:color w:val="auto"/>
          <w:lang w:val="zh-CN"/>
        </w:rPr>
        <w:t>按要求提供</w:t>
      </w:r>
      <w:r>
        <w:rPr>
          <w:rStyle w:val="24"/>
          <w:rFonts w:hint="eastAsia" w:eastAsia="宋体" w:cs="宋体" w:asciiTheme="minorEastAsia" w:hAnsiTheme="minorEastAsia"/>
          <w:b/>
          <w:bCs/>
          <w:color w:val="auto"/>
          <w:lang w:val="zh-CN"/>
        </w:rPr>
        <w:t>结案报告</w:t>
      </w:r>
      <w:r>
        <w:rPr>
          <w:rStyle w:val="24"/>
          <w:rFonts w:hint="eastAsia" w:eastAsia="宋体" w:cs="宋体" w:asciiTheme="minorEastAsia" w:hAnsiTheme="minorEastAsia"/>
          <w:color w:val="auto"/>
          <w:lang w:val="zh-CN"/>
        </w:rPr>
        <w:t>，结案报告包括但不限于</w:t>
      </w:r>
      <w:r>
        <w:rPr>
          <w:rStyle w:val="24"/>
          <w:rFonts w:hint="eastAsia" w:eastAsia="宋体" w:cs="宋体" w:asciiTheme="minorEastAsia" w:hAnsiTheme="minorEastAsia"/>
          <w:color w:val="auto"/>
          <w:lang w:val="en-US" w:eastAsia="zh-CN"/>
        </w:rPr>
        <w:t>线下落地效果；线上宣发</w:t>
      </w:r>
      <w:r>
        <w:rPr>
          <w:rStyle w:val="24"/>
          <w:rFonts w:hint="eastAsia" w:eastAsia="宋体" w:cs="宋体" w:asciiTheme="minorEastAsia" w:hAnsiTheme="minorEastAsia"/>
          <w:color w:val="auto"/>
          <w:lang w:val="zh-CN"/>
        </w:rPr>
        <w:t>效果概要（</w:t>
      </w:r>
      <w:r>
        <w:rPr>
          <w:rStyle w:val="24"/>
          <w:rFonts w:hint="eastAsia" w:eastAsia="宋体" w:cs="宋体" w:asciiTheme="minorEastAsia" w:hAnsiTheme="minorEastAsia"/>
          <w:color w:val="auto"/>
          <w:lang w:val="en-US" w:eastAsia="zh-CN"/>
        </w:rPr>
        <w:t>曝光数据汇总</w:t>
      </w:r>
      <w:r>
        <w:rPr>
          <w:rStyle w:val="24"/>
          <w:rFonts w:hint="eastAsia" w:eastAsia="宋体" w:cs="宋体" w:asciiTheme="minorEastAsia" w:hAnsiTheme="minorEastAsia"/>
          <w:color w:val="auto"/>
          <w:lang w:val="zh-CN"/>
        </w:rPr>
        <w:t>）、效果分析（</w:t>
      </w:r>
      <w:r>
        <w:rPr>
          <w:rStyle w:val="24"/>
          <w:rFonts w:hint="eastAsia" w:eastAsia="宋体" w:cs="宋体" w:asciiTheme="minorEastAsia" w:hAnsiTheme="minorEastAsia"/>
          <w:color w:val="auto"/>
          <w:lang w:val="en-US" w:eastAsia="zh-CN"/>
        </w:rPr>
        <w:t>目标群体覆盖率、转化效果</w:t>
      </w:r>
      <w:r>
        <w:rPr>
          <w:rStyle w:val="24"/>
          <w:rFonts w:hint="eastAsia" w:eastAsia="宋体" w:cs="宋体" w:asciiTheme="minorEastAsia" w:hAnsiTheme="minorEastAsia"/>
          <w:color w:val="auto"/>
          <w:lang w:val="zh-CN"/>
        </w:rPr>
        <w:t>）及分析总结（</w:t>
      </w:r>
      <w:r>
        <w:rPr>
          <w:rStyle w:val="24"/>
          <w:rFonts w:hint="eastAsia" w:eastAsia="宋体" w:cs="宋体" w:asciiTheme="minorEastAsia" w:hAnsiTheme="minorEastAsia"/>
          <w:color w:val="auto"/>
          <w:lang w:val="en-US" w:eastAsia="zh-CN"/>
        </w:rPr>
        <w:t>达人内容分析、触达粉丝地域分析</w:t>
      </w:r>
      <w:r>
        <w:rPr>
          <w:rStyle w:val="24"/>
          <w:rFonts w:hint="eastAsia" w:eastAsia="宋体" w:cs="宋体" w:asciiTheme="minorEastAsia" w:hAnsiTheme="minorEastAsia"/>
          <w:color w:val="auto"/>
          <w:lang w:val="zh-CN"/>
        </w:rPr>
        <w:t>）</w:t>
      </w:r>
      <w:r>
        <w:rPr>
          <w:rStyle w:val="24"/>
          <w:rFonts w:hint="eastAsia" w:eastAsia="宋体" w:cs="宋体" w:asciiTheme="minorEastAsia" w:hAnsiTheme="minorEastAsia"/>
          <w:color w:val="auto"/>
          <w:lang w:val="en-US" w:eastAsia="zh-CN"/>
        </w:rPr>
        <w:t>等</w:t>
      </w:r>
      <w:r>
        <w:rPr>
          <w:rStyle w:val="24"/>
          <w:rFonts w:hint="eastAsia" w:eastAsia="宋体" w:cs="宋体" w:asciiTheme="minorEastAsia" w:hAnsiTheme="minorEastAsia"/>
          <w:color w:val="auto"/>
          <w:lang w:val="zh-CN"/>
        </w:rPr>
        <w:t>。</w:t>
      </w:r>
    </w:p>
    <w:p w14:paraId="36178046">
      <w:pPr>
        <w:pStyle w:val="19"/>
        <w:spacing w:line="360" w:lineRule="auto"/>
        <w:ind w:left="426" w:right="-143" w:rightChars="-68" w:firstLine="0" w:firstLineChars="0"/>
        <w:rPr>
          <w:rFonts w:asciiTheme="minorEastAsia" w:hAnsiTheme="minorEastAsia"/>
          <w:color w:val="auto"/>
          <w:sz w:val="24"/>
          <w:szCs w:val="24"/>
        </w:rPr>
      </w:pPr>
    </w:p>
    <w:p w14:paraId="5DE79ADC">
      <w:pPr>
        <w:pStyle w:val="19"/>
        <w:widowControl/>
        <w:numPr>
          <w:ilvl w:val="0"/>
          <w:numId w:val="1"/>
        </w:numPr>
        <w:shd w:val="clear" w:color="auto" w:fill="FFFFFF"/>
        <w:spacing w:line="360" w:lineRule="auto"/>
        <w:ind w:firstLineChars="0"/>
        <w:outlineLvl w:val="1"/>
        <w:rPr>
          <w:rFonts w:cs="Arial" w:asciiTheme="minorEastAsia" w:hAnsiTheme="minorEastAsia"/>
          <w:b/>
          <w:color w:val="auto"/>
          <w:kern w:val="0"/>
          <w:sz w:val="32"/>
          <w:szCs w:val="32"/>
        </w:rPr>
      </w:pPr>
      <w:bookmarkStart w:id="4" w:name="_Toc12609204"/>
      <w:bookmarkEnd w:id="4"/>
      <w:bookmarkStart w:id="5" w:name="_Toc407135051"/>
      <w:bookmarkEnd w:id="5"/>
      <w:bookmarkStart w:id="6" w:name="_Toc79576675"/>
      <w:bookmarkEnd w:id="6"/>
      <w:r>
        <w:rPr>
          <w:rFonts w:hint="eastAsia" w:cs="Arial" w:asciiTheme="minorEastAsia" w:hAnsiTheme="minorEastAsia"/>
          <w:b/>
          <w:color w:val="auto"/>
          <w:kern w:val="0"/>
          <w:sz w:val="32"/>
          <w:szCs w:val="32"/>
        </w:rPr>
        <w:t>投标人资格要求</w:t>
      </w:r>
    </w:p>
    <w:p w14:paraId="0CDD95C9">
      <w:pPr>
        <w:pStyle w:val="19"/>
        <w:numPr>
          <w:ilvl w:val="0"/>
          <w:numId w:val="5"/>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具有独立承担民事责任的能力</w:t>
      </w:r>
      <w:r>
        <w:rPr>
          <w:rFonts w:hint="eastAsia" w:asciiTheme="minorEastAsia" w:hAnsiTheme="minorEastAsia"/>
          <w:color w:val="auto"/>
          <w:sz w:val="24"/>
          <w:szCs w:val="24"/>
          <w:lang w:eastAsia="zh-CN"/>
        </w:rPr>
        <w:t xml:space="preserve"> （营业执照、纳税人资质、注册资本及认缴实缴等）</w:t>
      </w:r>
      <w:r>
        <w:rPr>
          <w:rFonts w:hint="eastAsia" w:asciiTheme="minorEastAsia" w:hAnsiTheme="minorEastAsia"/>
          <w:color w:val="auto"/>
          <w:sz w:val="24"/>
          <w:szCs w:val="24"/>
        </w:rPr>
        <w:t>；</w:t>
      </w:r>
    </w:p>
    <w:p w14:paraId="47983EBA">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具有履行合同所</w:t>
      </w:r>
      <w:r>
        <w:rPr>
          <w:rFonts w:hint="eastAsia" w:asciiTheme="minorEastAsia" w:hAnsiTheme="minorEastAsia"/>
          <w:color w:val="auto"/>
          <w:sz w:val="24"/>
          <w:szCs w:val="24"/>
          <w:lang w:eastAsia="zh-CN"/>
        </w:rPr>
        <w:t>必需的</w:t>
      </w:r>
      <w:r>
        <w:rPr>
          <w:rFonts w:hint="eastAsia" w:asciiTheme="minorEastAsia" w:hAnsiTheme="minorEastAsia"/>
          <w:color w:val="auto"/>
          <w:sz w:val="24"/>
          <w:szCs w:val="24"/>
        </w:rPr>
        <w:t>设备和专业技术能力；</w:t>
      </w:r>
    </w:p>
    <w:p w14:paraId="28ED3595">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有依法缴纳税收和社会保障资金的良好记录；</w:t>
      </w:r>
    </w:p>
    <w:p w14:paraId="31A2529D">
      <w:pPr>
        <w:pStyle w:val="19"/>
        <w:numPr>
          <w:ilvl w:val="0"/>
          <w:numId w:val="5"/>
        </w:numPr>
        <w:spacing w:line="360" w:lineRule="auto"/>
        <w:ind w:left="0" w:right="-143" w:rightChars="-68" w:firstLine="0" w:firstLineChars="0"/>
        <w:rPr>
          <w:rFonts w:asciiTheme="minorEastAsia" w:hAnsiTheme="minorEastAsia"/>
          <w:b/>
          <w:bCs/>
          <w:color w:val="auto"/>
          <w:sz w:val="24"/>
          <w:szCs w:val="24"/>
        </w:rPr>
      </w:pPr>
      <w:r>
        <w:rPr>
          <w:rFonts w:hint="eastAsia" w:asciiTheme="minorEastAsia" w:hAnsiTheme="minorEastAsia"/>
          <w:b/>
          <w:bCs/>
          <w:color w:val="auto"/>
          <w:sz w:val="24"/>
          <w:szCs w:val="24"/>
        </w:rPr>
        <w:t>公司成立两年及以上，提供增值税专用发票；</w:t>
      </w:r>
    </w:p>
    <w:p w14:paraId="036E0D2E">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过去三年在企业经营中没有重大违法记录及民事纠纷；</w:t>
      </w:r>
    </w:p>
    <w:p w14:paraId="3ED6E287">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ascii="宋体" w:hAnsi="宋体" w:eastAsia="宋体" w:cs="宋体"/>
          <w:color w:val="auto"/>
          <w:sz w:val="24"/>
          <w:szCs w:val="24"/>
        </w:rPr>
        <w:t>投标人提交的本公司业绩情况及成功案例必须真实，甲方可根据需求进行实地考查。</w:t>
      </w:r>
    </w:p>
    <w:p w14:paraId="42F46CBD">
      <w:pPr>
        <w:widowControl/>
        <w:shd w:val="clear" w:color="auto" w:fill="FFFFFF"/>
        <w:spacing w:line="360" w:lineRule="auto"/>
        <w:jc w:val="left"/>
        <w:rPr>
          <w:rFonts w:cs="Arial" w:asciiTheme="minorEastAsia" w:hAnsiTheme="minorEastAsia"/>
          <w:color w:val="auto"/>
          <w:kern w:val="0"/>
          <w:sz w:val="28"/>
          <w:szCs w:val="28"/>
        </w:rPr>
      </w:pPr>
      <w:bookmarkStart w:id="7" w:name="_Toc56572780"/>
      <w:bookmarkStart w:id="8" w:name="_Toc59855917"/>
      <w:bookmarkStart w:id="9" w:name="_Toc59873842"/>
      <w:bookmarkStart w:id="10" w:name="_Toc59873786"/>
      <w:bookmarkStart w:id="11" w:name="_Toc79576676"/>
    </w:p>
    <w:p w14:paraId="6C78AC83">
      <w:pPr>
        <w:pStyle w:val="19"/>
        <w:widowControl/>
        <w:numPr>
          <w:ilvl w:val="0"/>
          <w:numId w:val="1"/>
        </w:numPr>
        <w:shd w:val="clear" w:color="auto" w:fill="FFFFFF"/>
        <w:spacing w:line="360" w:lineRule="auto"/>
        <w:ind w:firstLineChars="0"/>
        <w:jc w:val="left"/>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投标文件的组成</w:t>
      </w:r>
      <w:bookmarkEnd w:id="7"/>
      <w:bookmarkEnd w:id="8"/>
      <w:bookmarkEnd w:id="9"/>
      <w:bookmarkEnd w:id="10"/>
    </w:p>
    <w:p w14:paraId="1F0B2628">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投标文件由技术资信文件、报价文件</w:t>
      </w:r>
      <w:r>
        <w:rPr>
          <w:rFonts w:hint="eastAsia" w:asciiTheme="minorEastAsia" w:hAnsiTheme="minorEastAsia"/>
          <w:color w:val="auto"/>
          <w:sz w:val="24"/>
          <w:szCs w:val="24"/>
          <w:lang w:eastAsia="zh-CN"/>
        </w:rPr>
        <w:t>两</w:t>
      </w:r>
      <w:r>
        <w:rPr>
          <w:rFonts w:hint="eastAsia" w:asciiTheme="minorEastAsia" w:hAnsiTheme="minorEastAsia"/>
          <w:color w:val="auto"/>
          <w:sz w:val="24"/>
          <w:szCs w:val="24"/>
        </w:rPr>
        <w:t>部分组成</w:t>
      </w:r>
      <w:r>
        <w:rPr>
          <w:rFonts w:hint="eastAsia" w:asciiTheme="minorEastAsia" w:hAnsiTheme="minorEastAsia"/>
          <w:color w:val="auto"/>
          <w:sz w:val="24"/>
          <w:szCs w:val="24"/>
          <w:lang w:eastAsia="zh-CN"/>
        </w:rPr>
        <w:t>，均需加盖鲜章</w:t>
      </w:r>
      <w:r>
        <w:rPr>
          <w:rFonts w:hint="eastAsia" w:asciiTheme="minorEastAsia" w:hAnsiTheme="minorEastAsia"/>
          <w:color w:val="auto"/>
          <w:sz w:val="24"/>
          <w:szCs w:val="24"/>
        </w:rPr>
        <w:t>。</w:t>
      </w:r>
    </w:p>
    <w:p w14:paraId="46A8CC18">
      <w:pPr>
        <w:pStyle w:val="19"/>
        <w:numPr>
          <w:ilvl w:val="0"/>
          <w:numId w:val="6"/>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技术资信文件（不含报价）：</w:t>
      </w:r>
    </w:p>
    <w:p w14:paraId="613CE96E">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法定代表人授权委托书；</w:t>
      </w:r>
    </w:p>
    <w:p w14:paraId="3183D4A7">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企业法人营业执照副本复印件；</w:t>
      </w:r>
    </w:p>
    <w:p w14:paraId="6870E10B">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供应商的基本情况介绍及</w:t>
      </w:r>
      <w:r>
        <w:rPr>
          <w:rStyle w:val="24"/>
          <w:rFonts w:hint="eastAsia" w:eastAsia="宋体" w:cs="宋体" w:asciiTheme="minorEastAsia" w:hAnsiTheme="minorEastAsia"/>
          <w:color w:val="auto"/>
          <w:lang w:val="en-US" w:eastAsia="zh-CN"/>
        </w:rPr>
        <w:t>荣誉</w:t>
      </w:r>
      <w:r>
        <w:rPr>
          <w:rStyle w:val="24"/>
          <w:rFonts w:hint="eastAsia" w:eastAsia="宋体" w:cs="宋体" w:asciiTheme="minorEastAsia" w:hAnsiTheme="minorEastAsia"/>
          <w:color w:val="auto"/>
          <w:lang w:val="zh-CN"/>
        </w:rPr>
        <w:t>；</w:t>
      </w:r>
    </w:p>
    <w:p w14:paraId="6F5CAB43">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企业信用公示系统的报告</w:t>
      </w:r>
      <w:r>
        <w:rPr>
          <w:rStyle w:val="24"/>
          <w:rFonts w:hint="eastAsia" w:eastAsia="宋体" w:cs="宋体" w:asciiTheme="minorEastAsia" w:hAnsiTheme="minorEastAsia"/>
          <w:color w:val="auto"/>
          <w:lang w:val="zh-CN" w:eastAsia="zh-CN"/>
        </w:rPr>
        <w:t>；</w:t>
      </w:r>
    </w:p>
    <w:p w14:paraId="3AB3129B">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b/>
          <w:bCs/>
          <w:color w:val="auto"/>
          <w:lang w:val="zh-CN"/>
        </w:rPr>
        <w:t>项目实施方案</w:t>
      </w:r>
      <w:r>
        <w:rPr>
          <w:rStyle w:val="24"/>
          <w:rFonts w:hint="eastAsia" w:eastAsia="宋体" w:cs="宋体" w:asciiTheme="minorEastAsia" w:hAnsiTheme="minorEastAsia"/>
          <w:color w:val="auto"/>
          <w:lang w:val="zh-CN"/>
        </w:rPr>
        <w:t>；</w:t>
      </w:r>
    </w:p>
    <w:p w14:paraId="2B5A2072">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TW"/>
        </w:rPr>
      </w:pPr>
      <w:r>
        <w:rPr>
          <w:rStyle w:val="24"/>
          <w:rFonts w:hint="eastAsia" w:eastAsia="宋体" w:cs="宋体" w:asciiTheme="minorEastAsia" w:hAnsiTheme="minorEastAsia"/>
          <w:color w:val="auto"/>
          <w:lang w:val="zh-CN"/>
        </w:rPr>
        <w:t>同类项目</w:t>
      </w:r>
      <w:r>
        <w:rPr>
          <w:rStyle w:val="24"/>
          <w:rFonts w:hint="eastAsia" w:eastAsia="宋体" w:cs="宋体" w:asciiTheme="minorEastAsia" w:hAnsiTheme="minorEastAsia"/>
          <w:color w:val="auto"/>
          <w:lang w:val="zh-TW"/>
        </w:rPr>
        <w:t>业绩</w:t>
      </w:r>
      <w:r>
        <w:rPr>
          <w:rStyle w:val="24"/>
          <w:rFonts w:hint="eastAsia" w:eastAsia="宋体" w:cs="宋体" w:asciiTheme="minorEastAsia" w:hAnsiTheme="minorEastAsia"/>
          <w:color w:val="auto"/>
          <w:lang w:val="zh-TW" w:eastAsia="zh-CN"/>
        </w:rPr>
        <w:t>和</w:t>
      </w:r>
      <w:r>
        <w:rPr>
          <w:rStyle w:val="24"/>
          <w:rFonts w:hint="eastAsia" w:eastAsia="宋体" w:cs="宋体" w:asciiTheme="minorEastAsia" w:hAnsiTheme="minorEastAsia"/>
          <w:color w:val="auto"/>
          <w:lang w:val="zh-CN"/>
        </w:rPr>
        <w:t>项目结案报告并加盖供应商鲜章</w:t>
      </w:r>
      <w:r>
        <w:rPr>
          <w:rStyle w:val="24"/>
          <w:rFonts w:hint="eastAsia" w:eastAsia="宋体" w:cs="宋体" w:asciiTheme="minorEastAsia" w:hAnsiTheme="minorEastAsia"/>
          <w:color w:val="auto"/>
          <w:lang w:val="zh-TW"/>
        </w:rPr>
        <w:t>；</w:t>
      </w:r>
    </w:p>
    <w:p w14:paraId="7E615D0E">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评分规则中涉及的所需提供的资料；</w:t>
      </w:r>
    </w:p>
    <w:p w14:paraId="4EA4AD89">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eastAsia="zh-CN"/>
        </w:rPr>
        <w:t>项目</w:t>
      </w:r>
      <w:r>
        <w:rPr>
          <w:rStyle w:val="24"/>
          <w:rFonts w:hint="eastAsia" w:eastAsia="宋体" w:cs="宋体" w:asciiTheme="minorEastAsia" w:hAnsiTheme="minorEastAsia"/>
          <w:color w:val="auto"/>
          <w:lang w:val="zh-CN"/>
        </w:rPr>
        <w:t>联系人</w:t>
      </w:r>
      <w:r>
        <w:rPr>
          <w:rStyle w:val="24"/>
          <w:rFonts w:hint="eastAsia" w:eastAsia="宋体" w:cs="宋体" w:asciiTheme="minorEastAsia" w:hAnsiTheme="minorEastAsia"/>
          <w:color w:val="auto"/>
          <w:lang w:val="zh-CN" w:eastAsia="zh-CN"/>
        </w:rPr>
        <w:t>及联系方式；</w:t>
      </w:r>
    </w:p>
    <w:p w14:paraId="0AD65793">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供应商需要说明的其他文件。</w:t>
      </w:r>
    </w:p>
    <w:p w14:paraId="1E266878">
      <w:pPr>
        <w:pStyle w:val="19"/>
        <w:numPr>
          <w:ilvl w:val="0"/>
          <w:numId w:val="6"/>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报价文件：</w:t>
      </w:r>
    </w:p>
    <w:p w14:paraId="43AB8AFB">
      <w:pPr>
        <w:pStyle w:val="19"/>
        <w:numPr>
          <w:ilvl w:val="0"/>
          <w:numId w:val="8"/>
        </w:numPr>
        <w:snapToGrid w:val="0"/>
        <w:spacing w:line="360" w:lineRule="auto"/>
        <w:ind w:firstLine="6" w:firstLineChars="0"/>
        <w:rPr>
          <w:rStyle w:val="24"/>
          <w:rFonts w:asciiTheme="minorEastAsia" w:hAnsiTheme="minorEastAsia"/>
          <w:color w:val="auto"/>
          <w:lang w:val="zh-CN"/>
        </w:rPr>
      </w:pPr>
      <w:r>
        <w:rPr>
          <w:rStyle w:val="24"/>
          <w:rFonts w:hint="eastAsia" w:asciiTheme="minorEastAsia" w:hAnsiTheme="minorEastAsia"/>
          <w:color w:val="auto"/>
          <w:lang w:val="zh-CN"/>
        </w:rPr>
        <w:t>项目报价表（</w:t>
      </w:r>
      <w:r>
        <w:rPr>
          <w:rStyle w:val="24"/>
          <w:rFonts w:hint="eastAsia" w:asciiTheme="minorEastAsia" w:hAnsiTheme="minorEastAsia"/>
          <w:color w:val="auto"/>
          <w:lang w:val="en-US" w:eastAsia="zh-CN"/>
        </w:rPr>
        <w:t>请按</w:t>
      </w:r>
      <w:r>
        <w:rPr>
          <w:rStyle w:val="24"/>
          <w:rFonts w:hint="eastAsia" w:asciiTheme="minorEastAsia" w:hAnsiTheme="minorEastAsia"/>
          <w:b/>
          <w:bCs/>
          <w:color w:val="auto"/>
          <w:lang w:val="en-US" w:eastAsia="zh-CN"/>
        </w:rPr>
        <w:t>附件二</w:t>
      </w:r>
      <w:r>
        <w:rPr>
          <w:rStyle w:val="24"/>
          <w:rFonts w:hint="eastAsia" w:asciiTheme="minorEastAsia" w:hAnsiTheme="minorEastAsia"/>
          <w:color w:val="auto"/>
          <w:lang w:val="en-US" w:eastAsia="zh-CN"/>
        </w:rPr>
        <w:t>格式填写</w:t>
      </w:r>
      <w:r>
        <w:rPr>
          <w:rStyle w:val="24"/>
          <w:rFonts w:hint="eastAsia" w:asciiTheme="minorEastAsia" w:hAnsiTheme="minorEastAsia"/>
          <w:color w:val="auto"/>
          <w:lang w:val="zh-CN"/>
        </w:rPr>
        <w:t>）；</w:t>
      </w:r>
    </w:p>
    <w:p w14:paraId="5AB06F68">
      <w:pPr>
        <w:pStyle w:val="19"/>
        <w:numPr>
          <w:ilvl w:val="0"/>
          <w:numId w:val="8"/>
        </w:numPr>
        <w:snapToGrid w:val="0"/>
        <w:spacing w:line="360" w:lineRule="auto"/>
        <w:ind w:firstLine="6" w:firstLineChars="0"/>
        <w:rPr>
          <w:rStyle w:val="24"/>
          <w:rFonts w:asciiTheme="minorEastAsia" w:hAnsiTheme="minorEastAsia"/>
          <w:color w:val="auto"/>
          <w:lang w:val="zh-CN"/>
        </w:rPr>
      </w:pPr>
      <w:r>
        <w:rPr>
          <w:rStyle w:val="24"/>
          <w:rFonts w:hint="eastAsia" w:asciiTheme="minorEastAsia" w:hAnsiTheme="minorEastAsia"/>
          <w:color w:val="auto"/>
          <w:lang w:val="zh-CN"/>
        </w:rPr>
        <w:t>供应商需要说明的其他文件。</w:t>
      </w:r>
    </w:p>
    <w:p w14:paraId="2BA89F8F">
      <w:pPr>
        <w:widowControl/>
        <w:shd w:val="clear" w:color="auto" w:fill="FFFFFF"/>
        <w:spacing w:line="360" w:lineRule="auto"/>
        <w:ind w:firstLine="469"/>
        <w:jc w:val="left"/>
        <w:outlineLvl w:val="1"/>
        <w:rPr>
          <w:rFonts w:cs="Arial" w:asciiTheme="minorEastAsia" w:hAnsiTheme="minorEastAsia"/>
          <w:color w:val="auto"/>
          <w:kern w:val="0"/>
          <w:sz w:val="28"/>
          <w:szCs w:val="28"/>
        </w:rPr>
      </w:pPr>
    </w:p>
    <w:bookmarkEnd w:id="11"/>
    <w:p w14:paraId="3101F5BE">
      <w:pPr>
        <w:pStyle w:val="19"/>
        <w:widowControl/>
        <w:numPr>
          <w:ilvl w:val="0"/>
          <w:numId w:val="1"/>
        </w:numPr>
        <w:shd w:val="clear" w:color="auto" w:fill="FFFFFF"/>
        <w:spacing w:line="360" w:lineRule="auto"/>
        <w:ind w:firstLineChars="0"/>
        <w:jc w:val="left"/>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评标</w:t>
      </w:r>
      <w:r>
        <w:rPr>
          <w:rFonts w:hint="eastAsia" w:cs="宋体" w:asciiTheme="minorEastAsia" w:hAnsiTheme="minorEastAsia"/>
          <w:b/>
          <w:color w:val="auto"/>
          <w:sz w:val="32"/>
          <w:szCs w:val="32"/>
        </w:rPr>
        <w:t>办法（综合评标法）</w:t>
      </w:r>
    </w:p>
    <w:p w14:paraId="747E0469">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评标过程</w:t>
      </w:r>
    </w:p>
    <w:p w14:paraId="21AF6A0F">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由</w:t>
      </w:r>
      <w:r>
        <w:rPr>
          <w:rFonts w:hint="eastAsia" w:asciiTheme="minorEastAsia" w:hAnsiTheme="minorEastAsia"/>
          <w:color w:val="auto"/>
          <w:sz w:val="24"/>
          <w:szCs w:val="24"/>
          <w:lang w:val="en-US" w:eastAsia="zh-CN"/>
        </w:rPr>
        <w:t>评标委员会</w:t>
      </w:r>
      <w:r>
        <w:rPr>
          <w:rFonts w:hint="eastAsia" w:asciiTheme="minorEastAsia" w:hAnsiTheme="minorEastAsia"/>
          <w:color w:val="auto"/>
          <w:sz w:val="24"/>
          <w:szCs w:val="24"/>
        </w:rPr>
        <w:t>对投标人的投标文件按评标标准和程序进行评审；待全部评审工作结束，评标委员会应编制评标报告，评标委员会成员分别签名确认评审结果后，即产生最终的评标结果。</w:t>
      </w:r>
    </w:p>
    <w:p w14:paraId="411E4415">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评标程序项目</w:t>
      </w:r>
    </w:p>
    <w:p w14:paraId="6B3FE7C5">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开标——资格审查——评审三个环节进行。</w:t>
      </w:r>
    </w:p>
    <w:p w14:paraId="34BF3BB3">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评分内容及标准</w:t>
      </w: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798"/>
        <w:gridCol w:w="1906"/>
        <w:gridCol w:w="6087"/>
        <w:gridCol w:w="1354"/>
      </w:tblGrid>
      <w:tr w14:paraId="1A240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gridSpan w:val="2"/>
            <w:shd w:val="clear" w:color="auto" w:fill="D8D8D8" w:themeFill="background1" w:themeFillShade="D9"/>
            <w:vAlign w:val="center"/>
          </w:tcPr>
          <w:p w14:paraId="74DE0C45">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条款号</w:t>
            </w:r>
          </w:p>
        </w:tc>
        <w:tc>
          <w:tcPr>
            <w:tcW w:w="1906" w:type="dxa"/>
            <w:shd w:val="clear" w:color="auto" w:fill="D8D8D8" w:themeFill="background1" w:themeFillShade="D9"/>
            <w:vAlign w:val="center"/>
          </w:tcPr>
          <w:p w14:paraId="74D1C0D3">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评审因素</w:t>
            </w:r>
          </w:p>
        </w:tc>
        <w:tc>
          <w:tcPr>
            <w:tcW w:w="6087" w:type="dxa"/>
            <w:shd w:val="clear" w:color="auto" w:fill="D8D8D8" w:themeFill="background1" w:themeFillShade="D9"/>
            <w:vAlign w:val="center"/>
          </w:tcPr>
          <w:p w14:paraId="4B88B106">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评审标准</w:t>
            </w:r>
          </w:p>
        </w:tc>
        <w:tc>
          <w:tcPr>
            <w:tcW w:w="1354" w:type="dxa"/>
            <w:shd w:val="clear" w:color="auto" w:fill="D8D8D8" w:themeFill="background1" w:themeFillShade="D9"/>
            <w:vAlign w:val="center"/>
          </w:tcPr>
          <w:p w14:paraId="10603527">
            <w:pPr>
              <w:spacing w:line="360" w:lineRule="auto"/>
              <w:jc w:val="center"/>
              <w:rPr>
                <w:rFonts w:cs="宋体" w:asciiTheme="minorEastAsia" w:hAnsiTheme="minorEastAsia"/>
                <w:color w:val="auto"/>
                <w:sz w:val="24"/>
              </w:rPr>
            </w:pPr>
            <w:r>
              <w:rPr>
                <w:rFonts w:hint="eastAsia" w:cs="宋体" w:asciiTheme="minorEastAsia" w:hAnsiTheme="minorEastAsia"/>
                <w:color w:val="auto"/>
                <w:sz w:val="24"/>
                <w:szCs w:val="24"/>
              </w:rPr>
              <w:t>评审类型</w:t>
            </w:r>
          </w:p>
        </w:tc>
      </w:tr>
      <w:tr w14:paraId="590F3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Align w:val="center"/>
          </w:tcPr>
          <w:p w14:paraId="3D2222D5">
            <w:pPr>
              <w:adjustRightInd w:val="0"/>
              <w:snapToGrid w:val="0"/>
              <w:jc w:val="center"/>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w:t>
            </w:r>
          </w:p>
        </w:tc>
        <w:tc>
          <w:tcPr>
            <w:tcW w:w="798" w:type="dxa"/>
            <w:vAlign w:val="center"/>
          </w:tcPr>
          <w:p w14:paraId="51D23D7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评标</w:t>
            </w:r>
          </w:p>
          <w:p w14:paraId="48968BDA">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办法</w:t>
            </w:r>
          </w:p>
        </w:tc>
        <w:tc>
          <w:tcPr>
            <w:tcW w:w="1906" w:type="dxa"/>
            <w:vAlign w:val="center"/>
          </w:tcPr>
          <w:p w14:paraId="3F9879B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中标候选人排序方法</w:t>
            </w:r>
          </w:p>
        </w:tc>
        <w:tc>
          <w:tcPr>
            <w:tcW w:w="6087" w:type="dxa"/>
            <w:vAlign w:val="center"/>
          </w:tcPr>
          <w:p w14:paraId="0B0A8A19">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本项目评标办法为综合评分法，评标委员会推荐中标候选人方法按照投标文件满足招标文件全部实质性要求，且按照评审因素的量化指标评审得分最高的投标人为中标候选人。</w:t>
            </w:r>
          </w:p>
        </w:tc>
        <w:tc>
          <w:tcPr>
            <w:tcW w:w="1354" w:type="dxa"/>
            <w:vAlign w:val="center"/>
          </w:tcPr>
          <w:p w14:paraId="30C13091">
            <w:pPr>
              <w:spacing w:line="360" w:lineRule="auto"/>
              <w:jc w:val="center"/>
              <w:rPr>
                <w:rFonts w:cs="宋体" w:asciiTheme="minorEastAsia" w:hAnsiTheme="minorEastAsia"/>
                <w:color w:val="auto"/>
                <w:sz w:val="24"/>
              </w:rPr>
            </w:pPr>
            <w:r>
              <w:rPr>
                <w:rFonts w:hint="eastAsia" w:cs="宋体" w:asciiTheme="minorEastAsia" w:hAnsiTheme="minorEastAsia"/>
                <w:color w:val="auto"/>
                <w:sz w:val="24"/>
              </w:rPr>
              <w:t>/</w:t>
            </w:r>
          </w:p>
        </w:tc>
      </w:tr>
      <w:tr w14:paraId="335C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restart"/>
            <w:vAlign w:val="center"/>
          </w:tcPr>
          <w:p w14:paraId="5E52677E">
            <w:pPr>
              <w:adjustRightInd w:val="0"/>
              <w:snapToGrid w:val="0"/>
              <w:jc w:val="center"/>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2.1</w:t>
            </w:r>
          </w:p>
        </w:tc>
        <w:tc>
          <w:tcPr>
            <w:tcW w:w="798" w:type="dxa"/>
            <w:vMerge w:val="restart"/>
            <w:vAlign w:val="center"/>
          </w:tcPr>
          <w:p w14:paraId="5EFF2E86">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符合</w:t>
            </w:r>
          </w:p>
          <w:p w14:paraId="05458AB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性审</w:t>
            </w:r>
          </w:p>
          <w:p w14:paraId="28F5F11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查</w:t>
            </w:r>
          </w:p>
        </w:tc>
        <w:tc>
          <w:tcPr>
            <w:tcW w:w="1906" w:type="dxa"/>
            <w:vAlign w:val="center"/>
          </w:tcPr>
          <w:p w14:paraId="1EE70FC7">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435E2110">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投标文件（逐页盖章）未按招标文件要求签署、盖章的；</w:t>
            </w:r>
          </w:p>
        </w:tc>
        <w:tc>
          <w:tcPr>
            <w:tcW w:w="1354" w:type="dxa"/>
            <w:vAlign w:val="center"/>
          </w:tcPr>
          <w:p w14:paraId="00975D8C">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4AB91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0CF74358">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6E4795F2">
            <w:pPr>
              <w:adjustRightInd w:val="0"/>
              <w:snapToGrid w:val="0"/>
              <w:jc w:val="center"/>
              <w:rPr>
                <w:rFonts w:cs="宋体" w:asciiTheme="minorEastAsia" w:hAnsiTheme="minorEastAsia"/>
                <w:color w:val="auto"/>
                <w:sz w:val="24"/>
                <w:szCs w:val="24"/>
              </w:rPr>
            </w:pPr>
          </w:p>
        </w:tc>
        <w:tc>
          <w:tcPr>
            <w:tcW w:w="1906" w:type="dxa"/>
            <w:vAlign w:val="center"/>
          </w:tcPr>
          <w:p w14:paraId="13775388">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45DDCE9C">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投标文件内容真实，未提供虚假证明文件</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rPr>
              <w:t>虚假技术参数的；</w:t>
            </w:r>
          </w:p>
        </w:tc>
        <w:tc>
          <w:tcPr>
            <w:tcW w:w="1354" w:type="dxa"/>
            <w:vAlign w:val="center"/>
          </w:tcPr>
          <w:p w14:paraId="31304FA3">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3C84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636AEE11">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0D766ABE">
            <w:pPr>
              <w:adjustRightInd w:val="0"/>
              <w:snapToGrid w:val="0"/>
              <w:jc w:val="center"/>
              <w:rPr>
                <w:rFonts w:cs="宋体" w:asciiTheme="minorEastAsia" w:hAnsiTheme="minorEastAsia"/>
                <w:color w:val="auto"/>
                <w:sz w:val="24"/>
                <w:szCs w:val="24"/>
              </w:rPr>
            </w:pPr>
          </w:p>
        </w:tc>
        <w:tc>
          <w:tcPr>
            <w:tcW w:w="1906" w:type="dxa"/>
            <w:vAlign w:val="center"/>
          </w:tcPr>
          <w:p w14:paraId="5D84FFA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41B75289">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报价超过招标文件中规定的预算金额或最高限价的；</w:t>
            </w:r>
          </w:p>
        </w:tc>
        <w:tc>
          <w:tcPr>
            <w:tcW w:w="1354" w:type="dxa"/>
            <w:vAlign w:val="center"/>
          </w:tcPr>
          <w:p w14:paraId="762A2A94">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0716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29EF3B65">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4CB0FCB8">
            <w:pPr>
              <w:adjustRightInd w:val="0"/>
              <w:snapToGrid w:val="0"/>
              <w:jc w:val="center"/>
              <w:rPr>
                <w:rFonts w:cs="宋体" w:asciiTheme="minorEastAsia" w:hAnsiTheme="minorEastAsia"/>
                <w:color w:val="auto"/>
                <w:sz w:val="24"/>
                <w:szCs w:val="24"/>
              </w:rPr>
            </w:pPr>
          </w:p>
        </w:tc>
        <w:tc>
          <w:tcPr>
            <w:tcW w:w="1906" w:type="dxa"/>
            <w:vAlign w:val="center"/>
          </w:tcPr>
          <w:p w14:paraId="586C124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00481F97">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投标文件含有采购人不能接受的附加条件的；</w:t>
            </w:r>
          </w:p>
        </w:tc>
        <w:tc>
          <w:tcPr>
            <w:tcW w:w="1354" w:type="dxa"/>
            <w:vAlign w:val="center"/>
          </w:tcPr>
          <w:p w14:paraId="34F0D915">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5FFD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6F246F05">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150E1851">
            <w:pPr>
              <w:adjustRightInd w:val="0"/>
              <w:snapToGrid w:val="0"/>
              <w:jc w:val="center"/>
              <w:rPr>
                <w:rFonts w:cs="宋体" w:asciiTheme="minorEastAsia" w:hAnsiTheme="minorEastAsia"/>
                <w:color w:val="auto"/>
                <w:sz w:val="24"/>
                <w:szCs w:val="24"/>
              </w:rPr>
            </w:pPr>
          </w:p>
        </w:tc>
        <w:tc>
          <w:tcPr>
            <w:tcW w:w="1906" w:type="dxa"/>
            <w:vAlign w:val="center"/>
          </w:tcPr>
          <w:p w14:paraId="5D26C9F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536228A6">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法律、法规和招标文件规定的其他无效情形；</w:t>
            </w:r>
          </w:p>
        </w:tc>
        <w:tc>
          <w:tcPr>
            <w:tcW w:w="1354" w:type="dxa"/>
            <w:vAlign w:val="center"/>
          </w:tcPr>
          <w:p w14:paraId="00C7FA03">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08267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412" w:type="dxa"/>
            <w:gridSpan w:val="2"/>
            <w:vAlign w:val="center"/>
          </w:tcPr>
          <w:p w14:paraId="001AF6E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kern w:val="0"/>
                <w:sz w:val="24"/>
                <w:szCs w:val="24"/>
              </w:rPr>
              <w:t>2.2.1</w:t>
            </w:r>
          </w:p>
        </w:tc>
        <w:tc>
          <w:tcPr>
            <w:tcW w:w="1906" w:type="dxa"/>
            <w:vAlign w:val="center"/>
          </w:tcPr>
          <w:p w14:paraId="18CB0172">
            <w:pPr>
              <w:adjustRightInd w:val="0"/>
              <w:snapToGrid w:val="0"/>
              <w:jc w:val="center"/>
              <w:rPr>
                <w:rFonts w:cs="宋体" w:asciiTheme="minorEastAsia" w:hAnsiTheme="minorEastAsia"/>
                <w:b/>
                <w:bCs/>
                <w:color w:val="auto"/>
                <w:sz w:val="24"/>
                <w:szCs w:val="24"/>
              </w:rPr>
            </w:pPr>
            <w:r>
              <w:rPr>
                <w:rFonts w:hint="eastAsia" w:cs="宋体" w:asciiTheme="minorEastAsia" w:hAnsiTheme="minorEastAsia"/>
                <w:b/>
                <w:bCs/>
                <w:color w:val="auto"/>
                <w:sz w:val="24"/>
                <w:szCs w:val="24"/>
              </w:rPr>
              <w:t>分值构成</w:t>
            </w:r>
          </w:p>
        </w:tc>
        <w:tc>
          <w:tcPr>
            <w:tcW w:w="6087" w:type="dxa"/>
            <w:vAlign w:val="center"/>
          </w:tcPr>
          <w:p w14:paraId="49E7E0C3">
            <w:pPr>
              <w:adjustRightInd w:val="0"/>
              <w:snapToGrid w:val="0"/>
              <w:jc w:val="left"/>
              <w:rPr>
                <w:rFonts w:hint="eastAsia" w:cs="宋体" w:asciiTheme="minorEastAsia" w:hAnsiTheme="minorEastAsia"/>
                <w:b/>
                <w:bCs/>
                <w:color w:val="auto"/>
                <w:sz w:val="24"/>
                <w:szCs w:val="24"/>
              </w:rPr>
            </w:pPr>
            <w:r>
              <w:rPr>
                <w:rFonts w:hint="eastAsia" w:cs="宋体" w:asciiTheme="minorEastAsia" w:hAnsiTheme="minorEastAsia"/>
                <w:b/>
                <w:bCs/>
                <w:color w:val="auto"/>
                <w:sz w:val="24"/>
                <w:szCs w:val="24"/>
              </w:rPr>
              <w:t>商务部分：</w:t>
            </w:r>
            <w:r>
              <w:rPr>
                <w:rFonts w:hint="eastAsia" w:cs="宋体" w:asciiTheme="minorEastAsia" w:hAnsiTheme="minorEastAsia"/>
                <w:b/>
                <w:bCs/>
                <w:color w:val="auto"/>
                <w:sz w:val="24"/>
                <w:szCs w:val="24"/>
                <w:lang w:val="en-US" w:eastAsia="zh-CN"/>
              </w:rPr>
              <w:t>10</w:t>
            </w:r>
            <w:r>
              <w:rPr>
                <w:rFonts w:hint="eastAsia" w:cs="宋体" w:asciiTheme="minorEastAsia" w:hAnsiTheme="minorEastAsia"/>
                <w:b/>
                <w:bCs/>
                <w:color w:val="auto"/>
                <w:sz w:val="24"/>
                <w:szCs w:val="24"/>
              </w:rPr>
              <w:t>分</w:t>
            </w:r>
          </w:p>
          <w:p w14:paraId="32D5043B">
            <w:pPr>
              <w:adjustRightInd w:val="0"/>
              <w:snapToGrid w:val="0"/>
              <w:jc w:val="left"/>
              <w:rPr>
                <w:rFonts w:hint="eastAsia" w:cs="宋体" w:asciiTheme="minorEastAsia" w:hAnsiTheme="minorEastAsia"/>
                <w:b/>
                <w:bCs/>
                <w:color w:val="auto"/>
                <w:sz w:val="24"/>
                <w:szCs w:val="24"/>
              </w:rPr>
            </w:pPr>
            <w:r>
              <w:rPr>
                <w:rFonts w:hint="eastAsia" w:cs="宋体" w:asciiTheme="minorEastAsia" w:hAnsiTheme="minorEastAsia"/>
                <w:b/>
                <w:bCs/>
                <w:color w:val="auto"/>
                <w:sz w:val="24"/>
                <w:szCs w:val="24"/>
                <w:lang w:eastAsia="zh-CN"/>
              </w:rPr>
              <w:t>技术</w:t>
            </w:r>
            <w:r>
              <w:rPr>
                <w:rFonts w:hint="eastAsia" w:cs="宋体" w:asciiTheme="minorEastAsia" w:hAnsiTheme="minorEastAsia"/>
                <w:b/>
                <w:bCs/>
                <w:color w:val="auto"/>
                <w:sz w:val="24"/>
                <w:szCs w:val="24"/>
              </w:rPr>
              <w:t>部分：</w:t>
            </w:r>
            <w:r>
              <w:rPr>
                <w:rFonts w:hint="eastAsia" w:cs="宋体" w:asciiTheme="minorEastAsia" w:hAnsiTheme="minorEastAsia"/>
                <w:b/>
                <w:bCs/>
                <w:color w:val="auto"/>
                <w:sz w:val="24"/>
                <w:szCs w:val="24"/>
                <w:lang w:val="en-US" w:eastAsia="zh-CN"/>
              </w:rPr>
              <w:t>75</w:t>
            </w:r>
            <w:r>
              <w:rPr>
                <w:rFonts w:hint="eastAsia" w:cs="宋体" w:asciiTheme="minorEastAsia" w:hAnsiTheme="minorEastAsia"/>
                <w:b/>
                <w:bCs/>
                <w:color w:val="auto"/>
                <w:sz w:val="24"/>
                <w:szCs w:val="24"/>
              </w:rPr>
              <w:t>分</w:t>
            </w:r>
          </w:p>
          <w:p w14:paraId="2C21DE43">
            <w:pPr>
              <w:adjustRightInd w:val="0"/>
              <w:snapToGrid w:val="0"/>
              <w:jc w:val="left"/>
              <w:rPr>
                <w:rFonts w:hint="default" w:cs="宋体" w:asciiTheme="minorEastAsia" w:hAnsiTheme="minorEastAsia" w:eastAsiaTheme="minorEastAsia"/>
                <w:b/>
                <w:bCs/>
                <w:color w:val="auto"/>
                <w:sz w:val="24"/>
                <w:szCs w:val="24"/>
                <w:lang w:val="en-US" w:eastAsia="zh-CN"/>
              </w:rPr>
            </w:pPr>
            <w:r>
              <w:rPr>
                <w:rFonts w:hint="eastAsia" w:cs="宋体" w:asciiTheme="minorEastAsia" w:hAnsiTheme="minorEastAsia"/>
                <w:b/>
                <w:bCs/>
                <w:color w:val="auto"/>
                <w:sz w:val="24"/>
                <w:szCs w:val="24"/>
                <w:lang w:val="en-US" w:eastAsia="zh-CN"/>
              </w:rPr>
              <w:t>投标报价：</w:t>
            </w:r>
            <w:r>
              <w:rPr>
                <w:rFonts w:hint="eastAsia" w:cs="宋体" w:asciiTheme="minorEastAsia" w:hAnsiTheme="minorEastAsia"/>
                <w:b/>
                <w:bCs/>
                <w:color w:val="auto"/>
                <w:sz w:val="24"/>
                <w:szCs w:val="24"/>
                <w:lang w:val="en-US" w:eastAsia="zh-CN"/>
              </w:rPr>
              <w:t>15分</w:t>
            </w:r>
          </w:p>
        </w:tc>
        <w:tc>
          <w:tcPr>
            <w:tcW w:w="1354" w:type="dxa"/>
            <w:vAlign w:val="center"/>
          </w:tcPr>
          <w:p w14:paraId="4625FD37">
            <w:pPr>
              <w:spacing w:line="360" w:lineRule="auto"/>
              <w:ind w:left="600" w:hanging="600" w:hangingChars="250"/>
              <w:jc w:val="center"/>
              <w:rPr>
                <w:rFonts w:hint="eastAsia" w:cs="宋体" w:asciiTheme="minorEastAsia" w:hAnsiTheme="minorEastAsia"/>
                <w:color w:val="auto"/>
                <w:sz w:val="24"/>
              </w:rPr>
            </w:pPr>
            <w:r>
              <w:rPr>
                <w:rFonts w:hint="eastAsia" w:cs="宋体" w:asciiTheme="minorEastAsia" w:hAnsiTheme="minorEastAsia"/>
                <w:color w:val="auto"/>
                <w:sz w:val="24"/>
              </w:rPr>
              <w:t>总分：</w:t>
            </w:r>
          </w:p>
          <w:p w14:paraId="7884EB12">
            <w:pPr>
              <w:spacing w:line="360" w:lineRule="auto"/>
              <w:ind w:left="600" w:hanging="600" w:hangingChars="250"/>
              <w:jc w:val="center"/>
              <w:rPr>
                <w:rFonts w:cs="宋体" w:asciiTheme="minorEastAsia" w:hAnsiTheme="minorEastAsia"/>
                <w:color w:val="auto"/>
                <w:sz w:val="24"/>
              </w:rPr>
            </w:pPr>
            <w:r>
              <w:rPr>
                <w:rFonts w:hint="eastAsia" w:cs="宋体" w:asciiTheme="minorEastAsia" w:hAnsiTheme="minorEastAsia"/>
                <w:color w:val="auto"/>
                <w:sz w:val="24"/>
              </w:rPr>
              <w:t>100分</w:t>
            </w:r>
          </w:p>
        </w:tc>
      </w:tr>
    </w:tbl>
    <w:p w14:paraId="0B50ACEE">
      <w:pPr>
        <w:spacing w:line="360" w:lineRule="auto"/>
        <w:ind w:firstLine="424" w:firstLineChars="177"/>
        <w:jc w:val="left"/>
        <w:rPr>
          <w:rFonts w:asciiTheme="minorEastAsia" w:hAnsiTheme="minorEastAsia"/>
          <w:color w:val="auto"/>
          <w:sz w:val="24"/>
          <w:szCs w:val="24"/>
        </w:rPr>
      </w:pP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907"/>
        <w:gridCol w:w="6086"/>
        <w:gridCol w:w="1354"/>
      </w:tblGrid>
      <w:tr w14:paraId="66A32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shd w:val="clear" w:color="auto" w:fill="D8D8D8" w:themeFill="background1" w:themeFillShade="D9"/>
            <w:vAlign w:val="center"/>
          </w:tcPr>
          <w:p w14:paraId="6AC83516">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条款号</w:t>
            </w:r>
          </w:p>
        </w:tc>
        <w:tc>
          <w:tcPr>
            <w:tcW w:w="1907" w:type="dxa"/>
            <w:shd w:val="clear" w:color="auto" w:fill="D8D8D8" w:themeFill="background1" w:themeFillShade="D9"/>
            <w:vAlign w:val="center"/>
          </w:tcPr>
          <w:p w14:paraId="320EE732">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类别</w:t>
            </w:r>
          </w:p>
        </w:tc>
        <w:tc>
          <w:tcPr>
            <w:tcW w:w="6086" w:type="dxa"/>
            <w:shd w:val="clear" w:color="auto" w:fill="D8D8D8" w:themeFill="background1" w:themeFillShade="D9"/>
            <w:vAlign w:val="center"/>
          </w:tcPr>
          <w:p w14:paraId="0F1B319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评分标准</w:t>
            </w:r>
          </w:p>
        </w:tc>
        <w:tc>
          <w:tcPr>
            <w:tcW w:w="1354" w:type="dxa"/>
            <w:shd w:val="clear" w:color="auto" w:fill="D8D8D8" w:themeFill="background1" w:themeFillShade="D9"/>
            <w:vAlign w:val="center"/>
          </w:tcPr>
          <w:p w14:paraId="057782EA">
            <w:pPr>
              <w:spacing w:line="360" w:lineRule="auto"/>
              <w:jc w:val="center"/>
              <w:rPr>
                <w:rFonts w:cs="宋体" w:asciiTheme="minorEastAsia" w:hAnsiTheme="minorEastAsia"/>
                <w:color w:val="auto"/>
                <w:sz w:val="24"/>
              </w:rPr>
            </w:pPr>
            <w:r>
              <w:rPr>
                <w:rFonts w:hint="eastAsia" w:cs="宋体" w:asciiTheme="minorEastAsia" w:hAnsiTheme="minorEastAsia"/>
                <w:color w:val="auto"/>
                <w:sz w:val="24"/>
                <w:szCs w:val="24"/>
              </w:rPr>
              <w:t>分值</w:t>
            </w:r>
          </w:p>
        </w:tc>
      </w:tr>
      <w:tr w14:paraId="48BC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restart"/>
            <w:vAlign w:val="center"/>
          </w:tcPr>
          <w:p w14:paraId="62E4371D">
            <w:pPr>
              <w:adjustRightInd w:val="0"/>
              <w:snapToGrid w:val="0"/>
              <w:jc w:val="center"/>
              <w:rPr>
                <w:rFonts w:hint="eastAsia" w:cs="宋体" w:asciiTheme="minorEastAsia" w:hAnsiTheme="minorEastAsia" w:eastAsiaTheme="minorEastAsia"/>
                <w:color w:val="auto"/>
                <w:sz w:val="24"/>
                <w:szCs w:val="24"/>
                <w:lang w:eastAsia="zh-CN"/>
              </w:rPr>
            </w:pPr>
            <w:r>
              <w:rPr>
                <w:rFonts w:hint="eastAsia" w:cs="宋体" w:asciiTheme="minorEastAsia" w:hAnsiTheme="minorEastAsia"/>
                <w:color w:val="auto"/>
                <w:kern w:val="0"/>
                <w:sz w:val="24"/>
                <w:szCs w:val="24"/>
              </w:rPr>
              <w:t>2.2.</w:t>
            </w:r>
            <w:r>
              <w:rPr>
                <w:rFonts w:hint="eastAsia" w:cs="宋体" w:asciiTheme="minorEastAsia" w:hAnsiTheme="minorEastAsia"/>
                <w:color w:val="auto"/>
                <w:kern w:val="0"/>
                <w:sz w:val="24"/>
                <w:szCs w:val="24"/>
                <w:lang w:val="en-US" w:eastAsia="zh-CN"/>
              </w:rPr>
              <w:t>2</w:t>
            </w:r>
          </w:p>
        </w:tc>
        <w:tc>
          <w:tcPr>
            <w:tcW w:w="1907" w:type="dxa"/>
            <w:vMerge w:val="restart"/>
            <w:vAlign w:val="center"/>
          </w:tcPr>
          <w:p w14:paraId="29BA6229">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商务评分标准</w:t>
            </w:r>
          </w:p>
        </w:tc>
        <w:tc>
          <w:tcPr>
            <w:tcW w:w="6086" w:type="dxa"/>
            <w:vAlign w:val="center"/>
          </w:tcPr>
          <w:p w14:paraId="797DEA38">
            <w:pPr>
              <w:adjustRightInd w:val="0"/>
              <w:snapToGrid w:val="0"/>
              <w:rPr>
                <w:rFonts w:hint="eastAsia" w:cs="宋体" w:asciiTheme="minorEastAsia" w:hAnsiTheme="minorEastAsia" w:eastAsiaTheme="minorEastAsia"/>
                <w:color w:val="auto"/>
                <w:sz w:val="24"/>
                <w:szCs w:val="24"/>
                <w:lang w:eastAsia="zh-CN"/>
              </w:rPr>
            </w:pPr>
            <w:r>
              <w:rPr>
                <w:rFonts w:hint="eastAsia" w:cs="宋体" w:asciiTheme="minorEastAsia" w:hAnsiTheme="minorEastAsia"/>
                <w:color w:val="auto"/>
                <w:sz w:val="24"/>
                <w:szCs w:val="24"/>
                <w:lang w:eastAsia="zh-CN"/>
              </w:rPr>
              <w:t>根据</w:t>
            </w:r>
            <w:r>
              <w:rPr>
                <w:rFonts w:hint="eastAsia" w:cs="宋体" w:asciiTheme="minorEastAsia" w:hAnsiTheme="minorEastAsia"/>
                <w:color w:val="auto"/>
                <w:sz w:val="24"/>
                <w:szCs w:val="24"/>
              </w:rPr>
              <w:t>供应商提供</w:t>
            </w:r>
            <w:r>
              <w:rPr>
                <w:rFonts w:hint="eastAsia" w:cs="宋体" w:asciiTheme="minorEastAsia" w:hAnsiTheme="minorEastAsia"/>
                <w:color w:val="auto"/>
                <w:sz w:val="24"/>
                <w:szCs w:val="24"/>
                <w:lang w:eastAsia="zh-CN"/>
              </w:rPr>
              <w:t>的</w:t>
            </w:r>
            <w:r>
              <w:rPr>
                <w:rFonts w:hint="eastAsia" w:cs="宋体" w:asciiTheme="minorEastAsia" w:hAnsiTheme="minorEastAsia"/>
                <w:color w:val="auto"/>
                <w:sz w:val="24"/>
                <w:szCs w:val="24"/>
              </w:rPr>
              <w:t>近年（</w:t>
            </w:r>
            <w:r>
              <w:rPr>
                <w:rFonts w:hint="eastAsia" w:cs="宋体" w:asciiTheme="minorEastAsia" w:hAnsiTheme="minorEastAsia"/>
                <w:color w:val="auto"/>
                <w:sz w:val="24"/>
                <w:szCs w:val="24"/>
                <w:lang w:val="en-US" w:eastAsia="zh-CN"/>
              </w:rPr>
              <w:t>2020</w:t>
            </w:r>
            <w:r>
              <w:rPr>
                <w:rFonts w:hint="eastAsia" w:cs="宋体" w:asciiTheme="minorEastAsia" w:hAnsiTheme="minorEastAsia"/>
                <w:color w:val="auto"/>
                <w:sz w:val="24"/>
                <w:szCs w:val="24"/>
              </w:rPr>
              <w:t>年至投标截止日）承担过的</w:t>
            </w:r>
            <w:r>
              <w:rPr>
                <w:rFonts w:hint="eastAsia" w:cs="宋体" w:asciiTheme="minorEastAsia" w:hAnsiTheme="minorEastAsia"/>
                <w:color w:val="auto"/>
                <w:sz w:val="24"/>
                <w:szCs w:val="24"/>
                <w:lang w:eastAsia="zh-CN"/>
              </w:rPr>
              <w:t>类似</w:t>
            </w:r>
            <w:r>
              <w:rPr>
                <w:rFonts w:hint="eastAsia" w:cs="宋体" w:asciiTheme="minorEastAsia" w:hAnsiTheme="minorEastAsia"/>
                <w:color w:val="auto"/>
                <w:sz w:val="24"/>
                <w:szCs w:val="24"/>
              </w:rPr>
              <w:t>项目业绩</w:t>
            </w:r>
            <w:r>
              <w:rPr>
                <w:rFonts w:hint="eastAsia" w:cs="宋体" w:asciiTheme="minorEastAsia" w:hAnsiTheme="minorEastAsia"/>
                <w:color w:val="auto"/>
                <w:sz w:val="24"/>
                <w:szCs w:val="24"/>
                <w:lang w:eastAsia="zh-CN"/>
              </w:rPr>
              <w:t>进行评价</w:t>
            </w:r>
            <w:r>
              <w:rPr>
                <w:rFonts w:hint="eastAsia" w:cs="宋体" w:asciiTheme="minorEastAsia" w:hAnsiTheme="minorEastAsia"/>
                <w:color w:val="auto"/>
                <w:sz w:val="24"/>
                <w:szCs w:val="24"/>
              </w:rPr>
              <w:t>，有一项业绩得</w:t>
            </w:r>
            <w:r>
              <w:rPr>
                <w:rFonts w:hint="eastAsia" w:cs="宋体" w:asciiTheme="minorEastAsia" w:hAnsiTheme="minorEastAsia"/>
                <w:color w:val="auto"/>
                <w:sz w:val="24"/>
                <w:szCs w:val="24"/>
                <w:lang w:val="en-US" w:eastAsia="zh-CN"/>
              </w:rPr>
              <w:t>1</w:t>
            </w:r>
            <w:r>
              <w:rPr>
                <w:rFonts w:hint="eastAsia" w:cs="宋体" w:asciiTheme="minorEastAsia" w:hAnsiTheme="minorEastAsia"/>
                <w:color w:val="auto"/>
                <w:sz w:val="24"/>
                <w:szCs w:val="24"/>
              </w:rPr>
              <w:t>分，最高得</w:t>
            </w:r>
            <w:r>
              <w:rPr>
                <w:rFonts w:hint="eastAsia" w:cs="宋体" w:asciiTheme="minorEastAsia" w:hAnsiTheme="minorEastAsia"/>
                <w:color w:val="auto"/>
                <w:sz w:val="24"/>
                <w:szCs w:val="24"/>
                <w:lang w:val="en-US" w:eastAsia="zh-CN"/>
              </w:rPr>
              <w:t>5</w:t>
            </w:r>
            <w:r>
              <w:rPr>
                <w:rFonts w:hint="eastAsia" w:cs="宋体" w:asciiTheme="minorEastAsia" w:hAnsiTheme="minorEastAsia"/>
                <w:color w:val="auto"/>
                <w:sz w:val="24"/>
                <w:szCs w:val="24"/>
              </w:rPr>
              <w:t>分</w:t>
            </w:r>
            <w:r>
              <w:rPr>
                <w:rFonts w:hint="eastAsia" w:cs="宋体" w:asciiTheme="minorEastAsia" w:hAnsiTheme="minorEastAsia"/>
                <w:color w:val="auto"/>
                <w:sz w:val="24"/>
                <w:szCs w:val="24"/>
                <w:lang w:eastAsia="zh-CN"/>
              </w:rPr>
              <w:t>。</w:t>
            </w:r>
          </w:p>
          <w:p w14:paraId="3E2E08E0">
            <w:pPr>
              <w:adjustRightInd w:val="0"/>
              <w:snapToGrid w:val="0"/>
              <w:rPr>
                <w:rFonts w:hint="eastAsia" w:cs="宋体" w:asciiTheme="minorEastAsia" w:hAnsiTheme="minorEastAsia" w:eastAsiaTheme="minorEastAsia"/>
                <w:b/>
                <w:bCs/>
                <w:color w:val="auto"/>
                <w:sz w:val="24"/>
                <w:szCs w:val="24"/>
                <w:lang w:eastAsia="zh-CN"/>
              </w:rPr>
            </w:pPr>
            <w:r>
              <w:rPr>
                <w:rFonts w:hint="eastAsia" w:cs="宋体" w:asciiTheme="minorEastAsia" w:hAnsiTheme="minorEastAsia"/>
                <w:b/>
                <w:bCs/>
                <w:color w:val="auto"/>
                <w:sz w:val="24"/>
                <w:szCs w:val="24"/>
                <w:lang w:eastAsia="zh-CN"/>
              </w:rPr>
              <w:t>注：</w:t>
            </w:r>
          </w:p>
          <w:p w14:paraId="40FCA7E4">
            <w:pPr>
              <w:numPr>
                <w:ilvl w:val="0"/>
                <w:numId w:val="10"/>
              </w:numPr>
              <w:adjustRightInd w:val="0"/>
              <w:snapToGrid w:val="0"/>
              <w:ind w:leftChars="0"/>
              <w:rPr>
                <w:rFonts w:hint="eastAsia" w:cs="宋体" w:asciiTheme="minorEastAsia" w:hAnsiTheme="minorEastAsia"/>
                <w:b/>
                <w:bCs/>
                <w:color w:val="auto"/>
                <w:sz w:val="24"/>
                <w:szCs w:val="24"/>
              </w:rPr>
            </w:pPr>
            <w:r>
              <w:rPr>
                <w:rFonts w:hint="eastAsia" w:cs="宋体" w:asciiTheme="minorEastAsia" w:hAnsiTheme="minorEastAsia"/>
                <w:b/>
                <w:bCs/>
                <w:color w:val="auto"/>
                <w:sz w:val="24"/>
                <w:szCs w:val="24"/>
              </w:rPr>
              <w:t>类似项目业绩指与本项目</w:t>
            </w:r>
            <w:r>
              <w:rPr>
                <w:rFonts w:hint="eastAsia" w:cs="宋体" w:asciiTheme="minorEastAsia" w:hAnsiTheme="minorEastAsia"/>
                <w:b/>
                <w:bCs/>
                <w:color w:val="auto"/>
                <w:sz w:val="24"/>
                <w:szCs w:val="24"/>
                <w:lang w:eastAsia="zh-CN"/>
              </w:rPr>
              <w:t>类似</w:t>
            </w:r>
            <w:r>
              <w:rPr>
                <w:rFonts w:hint="eastAsia" w:cs="宋体" w:asciiTheme="minorEastAsia" w:hAnsiTheme="minorEastAsia"/>
                <w:b/>
                <w:bCs/>
                <w:color w:val="auto"/>
                <w:sz w:val="24"/>
                <w:szCs w:val="24"/>
              </w:rPr>
              <w:t>的</w:t>
            </w:r>
            <w:r>
              <w:rPr>
                <w:rFonts w:hint="eastAsia" w:cs="宋体" w:asciiTheme="minorEastAsia" w:hAnsiTheme="minorEastAsia"/>
                <w:b/>
                <w:bCs/>
                <w:color w:val="auto"/>
                <w:sz w:val="24"/>
                <w:szCs w:val="24"/>
                <w:lang w:val="en-US" w:eastAsia="zh-CN"/>
              </w:rPr>
              <w:t>小红书</w:t>
            </w:r>
            <w:r>
              <w:rPr>
                <w:rFonts w:hint="eastAsia" w:cs="宋体" w:asciiTheme="minorEastAsia" w:hAnsiTheme="minorEastAsia"/>
                <w:b/>
                <w:bCs/>
                <w:color w:val="auto"/>
                <w:sz w:val="24"/>
                <w:szCs w:val="24"/>
                <w:lang w:val="en-US" w:eastAsia="zh-CN"/>
              </w:rPr>
              <w:t>宣传合作，</w:t>
            </w:r>
            <w:r>
              <w:rPr>
                <w:rFonts w:hint="eastAsia" w:cs="宋体" w:asciiTheme="minorEastAsia" w:hAnsiTheme="minorEastAsia"/>
                <w:b/>
                <w:bCs/>
                <w:color w:val="auto"/>
                <w:sz w:val="24"/>
                <w:szCs w:val="24"/>
              </w:rPr>
              <w:t>其</w:t>
            </w:r>
            <w:r>
              <w:rPr>
                <w:rFonts w:hint="eastAsia" w:cs="宋体" w:asciiTheme="minorEastAsia" w:hAnsiTheme="minorEastAsia"/>
                <w:b/>
                <w:bCs/>
                <w:color w:val="auto"/>
                <w:sz w:val="24"/>
                <w:szCs w:val="24"/>
                <w:lang w:eastAsia="zh-CN"/>
              </w:rPr>
              <w:t>项目预算及</w:t>
            </w:r>
            <w:r>
              <w:rPr>
                <w:rFonts w:hint="eastAsia" w:cs="宋体" w:asciiTheme="minorEastAsia" w:hAnsiTheme="minorEastAsia"/>
                <w:b/>
                <w:bCs/>
                <w:color w:val="auto"/>
                <w:sz w:val="24"/>
                <w:szCs w:val="24"/>
                <w:lang w:val="en-US" w:eastAsia="zh-CN"/>
              </w:rPr>
              <w:t>达人量级和数量</w:t>
            </w:r>
            <w:r>
              <w:rPr>
                <w:rFonts w:hint="eastAsia" w:cs="宋体" w:asciiTheme="minorEastAsia" w:hAnsiTheme="minorEastAsia"/>
                <w:b/>
                <w:bCs/>
                <w:color w:val="auto"/>
                <w:sz w:val="24"/>
                <w:szCs w:val="24"/>
                <w:lang w:eastAsia="zh-CN"/>
              </w:rPr>
              <w:t>相当</w:t>
            </w:r>
            <w:r>
              <w:rPr>
                <w:rFonts w:hint="eastAsia" w:cs="宋体" w:asciiTheme="minorEastAsia" w:hAnsiTheme="minorEastAsia"/>
                <w:b/>
                <w:bCs/>
                <w:color w:val="auto"/>
                <w:sz w:val="24"/>
                <w:szCs w:val="24"/>
              </w:rPr>
              <w:t>。</w:t>
            </w:r>
          </w:p>
          <w:p w14:paraId="177C5FD8">
            <w:pPr>
              <w:numPr>
                <w:ilvl w:val="0"/>
                <w:numId w:val="10"/>
              </w:numPr>
              <w:adjustRightInd w:val="0"/>
              <w:snapToGrid w:val="0"/>
              <w:ind w:leftChars="0"/>
              <w:rPr>
                <w:rFonts w:cs="宋体" w:asciiTheme="minorEastAsia" w:hAnsiTheme="minorEastAsia"/>
                <w:color w:val="auto"/>
                <w:sz w:val="24"/>
                <w:szCs w:val="24"/>
              </w:rPr>
            </w:pPr>
            <w:r>
              <w:rPr>
                <w:rFonts w:hint="eastAsia" w:cs="宋体" w:asciiTheme="minorEastAsia" w:hAnsiTheme="minorEastAsia"/>
                <w:b/>
                <w:bCs/>
                <w:color w:val="auto"/>
                <w:sz w:val="24"/>
                <w:szCs w:val="24"/>
              </w:rPr>
              <w:t>供应商需提供采购合同</w:t>
            </w:r>
            <w:r>
              <w:rPr>
                <w:rFonts w:hint="eastAsia" w:cs="宋体" w:asciiTheme="minorEastAsia" w:hAnsiTheme="minorEastAsia"/>
                <w:b/>
                <w:bCs/>
                <w:color w:val="auto"/>
                <w:sz w:val="24"/>
                <w:szCs w:val="24"/>
                <w:lang w:eastAsia="zh-CN"/>
              </w:rPr>
              <w:t>（</w:t>
            </w:r>
            <w:r>
              <w:rPr>
                <w:rFonts w:hint="eastAsia" w:cs="宋体" w:asciiTheme="minorEastAsia" w:hAnsiTheme="minorEastAsia"/>
                <w:b/>
                <w:bCs/>
                <w:color w:val="auto"/>
                <w:sz w:val="24"/>
                <w:szCs w:val="24"/>
              </w:rPr>
              <w:t>含首页、</w:t>
            </w:r>
            <w:r>
              <w:rPr>
                <w:rFonts w:hint="eastAsia" w:cs="宋体" w:asciiTheme="minorEastAsia" w:hAnsiTheme="minorEastAsia"/>
                <w:b/>
                <w:bCs/>
                <w:color w:val="auto"/>
                <w:sz w:val="24"/>
                <w:szCs w:val="24"/>
                <w:lang w:eastAsia="zh-CN"/>
              </w:rPr>
              <w:t>服务</w:t>
            </w:r>
            <w:r>
              <w:rPr>
                <w:rFonts w:hint="eastAsia" w:cs="宋体" w:asciiTheme="minorEastAsia" w:hAnsiTheme="minorEastAsia"/>
                <w:b/>
                <w:bCs/>
                <w:color w:val="auto"/>
                <w:sz w:val="24"/>
                <w:szCs w:val="24"/>
              </w:rPr>
              <w:t>内容、金额数量页、签</w:t>
            </w:r>
            <w:r>
              <w:rPr>
                <w:rFonts w:hint="eastAsia" w:cs="宋体" w:asciiTheme="minorEastAsia" w:hAnsiTheme="minorEastAsia"/>
                <w:b/>
                <w:bCs/>
                <w:color w:val="auto"/>
                <w:sz w:val="24"/>
                <w:szCs w:val="24"/>
                <w:lang w:eastAsia="zh-CN"/>
              </w:rPr>
              <w:t>字</w:t>
            </w:r>
            <w:r>
              <w:rPr>
                <w:rFonts w:hint="eastAsia" w:cs="宋体" w:asciiTheme="minorEastAsia" w:hAnsiTheme="minorEastAsia"/>
                <w:b/>
                <w:bCs/>
                <w:color w:val="auto"/>
                <w:sz w:val="24"/>
                <w:szCs w:val="24"/>
              </w:rPr>
              <w:t>盖章页</w:t>
            </w:r>
            <w:r>
              <w:rPr>
                <w:rFonts w:hint="eastAsia" w:cs="宋体" w:asciiTheme="minorEastAsia" w:hAnsiTheme="minorEastAsia"/>
                <w:b/>
                <w:bCs/>
                <w:color w:val="auto"/>
                <w:sz w:val="24"/>
                <w:szCs w:val="24"/>
                <w:lang w:eastAsia="zh-CN"/>
              </w:rPr>
              <w:t>）</w:t>
            </w:r>
            <w:r>
              <w:rPr>
                <w:rFonts w:hint="eastAsia" w:cs="宋体" w:asciiTheme="minorEastAsia" w:hAnsiTheme="minorEastAsia"/>
                <w:b/>
                <w:bCs/>
                <w:color w:val="auto"/>
                <w:sz w:val="24"/>
                <w:szCs w:val="24"/>
              </w:rPr>
              <w:t>复印件，</w:t>
            </w:r>
            <w:r>
              <w:rPr>
                <w:rFonts w:hint="eastAsia" w:cs="宋体" w:asciiTheme="minorEastAsia" w:hAnsiTheme="minorEastAsia"/>
                <w:b/>
                <w:bCs/>
                <w:color w:val="auto"/>
                <w:sz w:val="24"/>
                <w:szCs w:val="24"/>
                <w:lang w:eastAsia="zh-CN"/>
              </w:rPr>
              <w:t>并能提供对应项目的策划方案，</w:t>
            </w:r>
            <w:r>
              <w:rPr>
                <w:rFonts w:hint="eastAsia" w:cs="宋体" w:asciiTheme="minorEastAsia" w:hAnsiTheme="minorEastAsia"/>
                <w:b/>
                <w:bCs/>
                <w:color w:val="auto"/>
                <w:sz w:val="24"/>
                <w:szCs w:val="24"/>
              </w:rPr>
              <w:t>否则业绩不予认可。</w:t>
            </w:r>
          </w:p>
          <w:p w14:paraId="7F64432D">
            <w:pPr>
              <w:widowControl w:val="0"/>
              <w:numPr>
                <w:ilvl w:val="0"/>
                <w:numId w:val="0"/>
              </w:numPr>
              <w:adjustRightInd w:val="0"/>
              <w:snapToGrid w:val="0"/>
              <w:jc w:val="both"/>
              <w:rPr>
                <w:rFonts w:cs="宋体" w:asciiTheme="minorEastAsia" w:hAnsiTheme="minorEastAsia"/>
                <w:color w:val="auto"/>
                <w:sz w:val="24"/>
                <w:szCs w:val="24"/>
              </w:rPr>
            </w:pPr>
          </w:p>
        </w:tc>
        <w:tc>
          <w:tcPr>
            <w:tcW w:w="1354" w:type="dxa"/>
            <w:vAlign w:val="center"/>
          </w:tcPr>
          <w:p w14:paraId="77C8CBCE">
            <w:pPr>
              <w:spacing w:line="360" w:lineRule="auto"/>
              <w:jc w:val="center"/>
              <w:rPr>
                <w:rFonts w:hint="default" w:cs="宋体" w:asciiTheme="minorEastAsia" w:hAnsiTheme="minorEastAsia" w:eastAsiaTheme="minorEastAsia"/>
                <w:color w:val="auto"/>
                <w:sz w:val="24"/>
                <w:lang w:val="en-US" w:eastAsia="zh-CN"/>
              </w:rPr>
            </w:pPr>
            <w:r>
              <w:rPr>
                <w:rFonts w:hint="eastAsia" w:cs="宋体" w:asciiTheme="minorEastAsia" w:hAnsiTheme="minorEastAsia"/>
                <w:color w:val="auto"/>
                <w:sz w:val="24"/>
                <w:lang w:val="en-US" w:eastAsia="zh-CN"/>
              </w:rPr>
              <w:t>5</w:t>
            </w:r>
          </w:p>
        </w:tc>
      </w:tr>
      <w:tr w14:paraId="67C9A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continue"/>
            <w:vAlign w:val="center"/>
          </w:tcPr>
          <w:p w14:paraId="0355D6B7">
            <w:pPr>
              <w:adjustRightInd w:val="0"/>
              <w:snapToGrid w:val="0"/>
              <w:jc w:val="center"/>
              <w:rPr>
                <w:rFonts w:cs="宋体" w:asciiTheme="minorEastAsia" w:hAnsiTheme="minorEastAsia"/>
                <w:color w:val="auto"/>
                <w:sz w:val="24"/>
                <w:szCs w:val="24"/>
              </w:rPr>
            </w:pPr>
          </w:p>
        </w:tc>
        <w:tc>
          <w:tcPr>
            <w:tcW w:w="1907" w:type="dxa"/>
            <w:vMerge w:val="continue"/>
            <w:vAlign w:val="center"/>
          </w:tcPr>
          <w:p w14:paraId="50818E7B">
            <w:pPr>
              <w:adjustRightInd w:val="0"/>
              <w:snapToGrid w:val="0"/>
              <w:jc w:val="center"/>
              <w:rPr>
                <w:rFonts w:cs="宋体" w:asciiTheme="minorEastAsia" w:hAnsiTheme="minorEastAsia"/>
                <w:color w:val="auto"/>
                <w:sz w:val="24"/>
                <w:szCs w:val="24"/>
              </w:rPr>
            </w:pPr>
          </w:p>
        </w:tc>
        <w:tc>
          <w:tcPr>
            <w:tcW w:w="6086" w:type="dxa"/>
            <w:vAlign w:val="center"/>
          </w:tcPr>
          <w:p w14:paraId="6D1977A7">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w:t>
            </w:r>
            <w:r>
              <w:rPr>
                <w:rFonts w:hint="eastAsia" w:cs="宋体" w:asciiTheme="minorEastAsia" w:hAnsiTheme="minorEastAsia"/>
                <w:color w:val="auto"/>
                <w:sz w:val="24"/>
                <w:szCs w:val="24"/>
              </w:rPr>
              <w:t>企业</w:t>
            </w:r>
            <w:r>
              <w:rPr>
                <w:rFonts w:hint="eastAsia" w:cs="宋体" w:asciiTheme="minorEastAsia" w:hAnsiTheme="minorEastAsia"/>
                <w:color w:val="auto"/>
                <w:sz w:val="24"/>
                <w:szCs w:val="24"/>
                <w:lang w:val="en-US" w:eastAsia="zh-CN"/>
              </w:rPr>
              <w:t>注册资本、团队规模、信誉及风险</w:t>
            </w:r>
            <w:r>
              <w:rPr>
                <w:rFonts w:hint="eastAsia" w:cs="宋体" w:asciiTheme="minorEastAsia" w:hAnsiTheme="minorEastAsia"/>
                <w:color w:val="auto"/>
                <w:sz w:val="24"/>
                <w:szCs w:val="24"/>
              </w:rPr>
              <w:t>情况</w:t>
            </w:r>
            <w:r>
              <w:rPr>
                <w:rFonts w:hint="eastAsia" w:cs="宋体" w:asciiTheme="minorEastAsia" w:hAnsiTheme="minorEastAsia"/>
                <w:color w:val="auto"/>
                <w:sz w:val="24"/>
                <w:szCs w:val="24"/>
                <w:lang w:val="en-US" w:eastAsia="zh-CN"/>
              </w:rPr>
              <w:t>进行评分</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0-5分</w:t>
            </w:r>
            <w:r>
              <w:rPr>
                <w:rFonts w:hint="eastAsia" w:cs="宋体" w:asciiTheme="minorEastAsia" w:hAnsiTheme="minorEastAsia"/>
                <w:color w:val="auto"/>
                <w:sz w:val="24"/>
                <w:szCs w:val="24"/>
                <w:lang w:eastAsia="zh-CN"/>
              </w:rPr>
              <w:t>）</w:t>
            </w:r>
          </w:p>
          <w:p w14:paraId="3CFB1C18">
            <w:pPr>
              <w:adjustRightInd w:val="0"/>
              <w:snapToGrid w:val="0"/>
              <w:rPr>
                <w:rFonts w:hint="default" w:cs="宋体" w:asciiTheme="minorEastAsia" w:hAnsiTheme="minorEastAsia"/>
                <w:color w:val="auto"/>
                <w:sz w:val="24"/>
                <w:szCs w:val="24"/>
                <w:lang w:val="en-US"/>
              </w:rPr>
            </w:pPr>
            <w:r>
              <w:rPr>
                <w:rFonts w:hint="eastAsia" w:cs="宋体" w:asciiTheme="minorEastAsia" w:hAnsiTheme="minorEastAsia"/>
                <w:color w:val="auto"/>
                <w:sz w:val="24"/>
                <w:szCs w:val="24"/>
              </w:rPr>
              <w:t>良好</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5</w:t>
            </w:r>
            <w:r>
              <w:rPr>
                <w:rFonts w:hint="eastAsia" w:cs="宋体" w:asciiTheme="minorEastAsia" w:hAnsiTheme="minorEastAsia"/>
                <w:color w:val="auto"/>
                <w:sz w:val="24"/>
                <w:szCs w:val="24"/>
              </w:rPr>
              <w:t>分</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rPr>
              <w:t>一般情况</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3</w:t>
            </w:r>
            <w:r>
              <w:rPr>
                <w:rFonts w:hint="eastAsia" w:cs="宋体" w:asciiTheme="minorEastAsia" w:hAnsiTheme="minorEastAsia"/>
                <w:color w:val="auto"/>
                <w:sz w:val="24"/>
                <w:szCs w:val="24"/>
              </w:rPr>
              <w:t>-</w:t>
            </w:r>
            <w:r>
              <w:rPr>
                <w:rFonts w:hint="eastAsia" w:cs="宋体" w:asciiTheme="minorEastAsia" w:hAnsiTheme="minorEastAsia"/>
                <w:color w:val="auto"/>
                <w:sz w:val="24"/>
                <w:szCs w:val="24"/>
                <w:lang w:val="en-US" w:eastAsia="zh-CN"/>
              </w:rPr>
              <w:t>4</w:t>
            </w:r>
            <w:r>
              <w:rPr>
                <w:rFonts w:hint="eastAsia" w:cs="宋体" w:asciiTheme="minorEastAsia" w:hAnsiTheme="minorEastAsia"/>
                <w:color w:val="auto"/>
                <w:sz w:val="24"/>
                <w:szCs w:val="24"/>
              </w:rPr>
              <w:t>分</w:t>
            </w:r>
            <w:r>
              <w:rPr>
                <w:rFonts w:hint="eastAsia" w:cs="宋体" w:asciiTheme="minorEastAsia" w:hAnsiTheme="minorEastAsia"/>
                <w:color w:val="auto"/>
                <w:sz w:val="24"/>
                <w:szCs w:val="24"/>
                <w:lang w:eastAsia="zh-CN"/>
              </w:rPr>
              <w:t>），较差（</w:t>
            </w:r>
            <w:r>
              <w:rPr>
                <w:rFonts w:hint="eastAsia" w:cs="宋体" w:asciiTheme="minorEastAsia" w:hAnsiTheme="minorEastAsia"/>
                <w:color w:val="auto"/>
                <w:sz w:val="24"/>
                <w:szCs w:val="24"/>
                <w:lang w:val="en-US" w:eastAsia="zh-CN"/>
              </w:rPr>
              <w:t>0-2分</w:t>
            </w:r>
            <w:r>
              <w:rPr>
                <w:rFonts w:hint="eastAsia" w:cs="宋体" w:asciiTheme="minorEastAsia" w:hAnsiTheme="minorEastAsia"/>
                <w:color w:val="auto"/>
                <w:sz w:val="24"/>
                <w:szCs w:val="24"/>
                <w:lang w:eastAsia="zh-CN"/>
              </w:rPr>
              <w:t>）</w:t>
            </w:r>
          </w:p>
        </w:tc>
        <w:tc>
          <w:tcPr>
            <w:tcW w:w="1354" w:type="dxa"/>
            <w:vAlign w:val="center"/>
          </w:tcPr>
          <w:p w14:paraId="3CBC33D9">
            <w:pPr>
              <w:spacing w:line="360" w:lineRule="auto"/>
              <w:jc w:val="center"/>
              <w:rPr>
                <w:rFonts w:hint="default" w:cs="宋体" w:asciiTheme="minorEastAsia" w:hAnsiTheme="minorEastAsia" w:eastAsiaTheme="minorEastAsia"/>
                <w:color w:val="auto"/>
                <w:sz w:val="24"/>
                <w:szCs w:val="24"/>
                <w:lang w:val="en-US" w:eastAsia="zh-CN"/>
              </w:rPr>
            </w:pPr>
            <w:r>
              <w:rPr>
                <w:rFonts w:hint="eastAsia" w:cs="宋体" w:asciiTheme="minorEastAsia" w:hAnsiTheme="minorEastAsia"/>
                <w:b/>
                <w:bCs/>
                <w:color w:val="auto"/>
                <w:sz w:val="24"/>
                <w:szCs w:val="24"/>
                <w:lang w:val="en-US" w:eastAsia="zh-CN"/>
              </w:rPr>
              <w:t>5</w:t>
            </w:r>
          </w:p>
        </w:tc>
      </w:tr>
      <w:tr w14:paraId="57644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restart"/>
            <w:vAlign w:val="center"/>
          </w:tcPr>
          <w:p w14:paraId="4F425C9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kern w:val="0"/>
                <w:sz w:val="24"/>
                <w:szCs w:val="24"/>
                <w:lang w:eastAsia="zh-CN"/>
              </w:rPr>
              <w:t>2.2.</w:t>
            </w:r>
            <w:r>
              <w:rPr>
                <w:rFonts w:hint="eastAsia" w:cs="宋体" w:asciiTheme="minorEastAsia" w:hAnsiTheme="minorEastAsia"/>
                <w:color w:val="auto"/>
                <w:kern w:val="0"/>
                <w:sz w:val="24"/>
                <w:szCs w:val="24"/>
                <w:lang w:val="en-US" w:eastAsia="zh-CN"/>
              </w:rPr>
              <w:t>3</w:t>
            </w:r>
          </w:p>
        </w:tc>
        <w:tc>
          <w:tcPr>
            <w:tcW w:w="1907" w:type="dxa"/>
            <w:vMerge w:val="restart"/>
            <w:vAlign w:val="center"/>
          </w:tcPr>
          <w:p w14:paraId="2AA58C9D">
            <w:pPr>
              <w:adjustRightInd w:val="0"/>
              <w:snapToGrid w:val="0"/>
              <w:jc w:val="center"/>
              <w:rPr>
                <w:rFonts w:hint="eastAsia" w:cs="宋体" w:asciiTheme="minorEastAsia" w:hAnsiTheme="minorEastAsia" w:eastAsiaTheme="minorEastAsia"/>
                <w:color w:val="auto"/>
                <w:sz w:val="24"/>
                <w:szCs w:val="24"/>
                <w:lang w:val="en-US" w:eastAsia="zh-CN"/>
              </w:rPr>
            </w:pPr>
            <w:r>
              <w:rPr>
                <w:rFonts w:hint="eastAsia" w:cs="宋体" w:asciiTheme="minorEastAsia" w:hAnsiTheme="minorEastAsia"/>
                <w:color w:val="auto"/>
                <w:sz w:val="24"/>
                <w:szCs w:val="24"/>
                <w:lang w:val="en-US" w:eastAsia="zh-CN"/>
              </w:rPr>
              <w:t>技术评分标准</w:t>
            </w:r>
          </w:p>
        </w:tc>
        <w:tc>
          <w:tcPr>
            <w:tcW w:w="6086" w:type="dxa"/>
            <w:vAlign w:val="center"/>
          </w:tcPr>
          <w:p w14:paraId="09A817AB">
            <w:pPr>
              <w:numPr>
                <w:ilvl w:val="0"/>
                <w:numId w:val="11"/>
              </w:numPr>
              <w:adjustRightInd w:val="0"/>
              <w:snapToGrid w:val="0"/>
              <w:ind w:leftChars="0"/>
              <w:rPr>
                <w:rFonts w:hint="eastAsia" w:cs="宋体" w:asciiTheme="minorEastAsia" w:hAnsiTheme="minorEastAsia"/>
                <w:color w:val="auto"/>
                <w:sz w:val="24"/>
                <w:szCs w:val="24"/>
                <w:lang w:eastAsia="zh-CN"/>
              </w:rPr>
            </w:pPr>
            <w:r>
              <w:rPr>
                <w:rFonts w:hint="eastAsia" w:cs="宋体" w:asciiTheme="minorEastAsia" w:hAnsiTheme="minorEastAsia"/>
                <w:color w:val="auto"/>
                <w:sz w:val="24"/>
                <w:szCs w:val="24"/>
                <w:lang w:val="en-US" w:eastAsia="zh-CN"/>
              </w:rPr>
              <w:t>主题</w:t>
            </w:r>
            <w:r>
              <w:rPr>
                <w:rFonts w:hint="eastAsia" w:cs="宋体" w:asciiTheme="minorEastAsia" w:hAnsiTheme="minorEastAsia"/>
                <w:color w:val="auto"/>
                <w:sz w:val="24"/>
                <w:szCs w:val="24"/>
                <w:lang w:eastAsia="zh-CN"/>
              </w:rPr>
              <w:t>活动方案的创意性、</w:t>
            </w:r>
            <w:r>
              <w:rPr>
                <w:rFonts w:hint="eastAsia" w:cs="宋体" w:asciiTheme="minorEastAsia" w:hAnsiTheme="minorEastAsia"/>
                <w:color w:val="auto"/>
                <w:sz w:val="24"/>
                <w:szCs w:val="24"/>
                <w:lang w:val="en-US" w:eastAsia="zh-CN"/>
              </w:rPr>
              <w:t>可落地执行性与是否符合目标人群需求</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0-15分</w:t>
            </w:r>
            <w:r>
              <w:rPr>
                <w:rFonts w:hint="eastAsia" w:cs="宋体" w:asciiTheme="minorEastAsia" w:hAnsiTheme="minorEastAsia"/>
                <w:color w:val="auto"/>
                <w:sz w:val="24"/>
                <w:szCs w:val="24"/>
                <w:lang w:eastAsia="zh-CN"/>
              </w:rPr>
              <w:t>）</w:t>
            </w:r>
          </w:p>
          <w:p w14:paraId="640FC1CE">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·三项均满足要求（10-15分）</w:t>
            </w:r>
          </w:p>
          <w:p w14:paraId="6599DB63">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·其中两项效果较好，一项较差（5-9分）</w:t>
            </w:r>
          </w:p>
          <w:p w14:paraId="221886E2">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·其中一项效果较好，两项较差（1-4分）</w:t>
            </w:r>
          </w:p>
          <w:p w14:paraId="4F5B8111">
            <w:pPr>
              <w:numPr>
                <w:ilvl w:val="0"/>
                <w:numId w:val="0"/>
              </w:numPr>
              <w:adjustRightInd w:val="0"/>
              <w:snapToGrid w:val="0"/>
              <w:ind w:leftChars="0"/>
              <w:rPr>
                <w:rFonts w:hint="default" w:ascii="宋体" w:hAnsi="宋体" w:eastAsia="宋体" w:cs="宋体"/>
                <w:color w:val="auto"/>
                <w:sz w:val="24"/>
                <w:szCs w:val="24"/>
                <w:lang w:val="en-US" w:eastAsia="zh-CN"/>
              </w:rPr>
            </w:pPr>
            <w:r>
              <w:rPr>
                <w:rFonts w:hint="eastAsia" w:cs="宋体" w:asciiTheme="minorEastAsia" w:hAnsiTheme="minorEastAsia"/>
                <w:color w:val="auto"/>
                <w:sz w:val="24"/>
                <w:szCs w:val="24"/>
                <w:lang w:val="en-US" w:eastAsia="zh-CN"/>
              </w:rPr>
              <w:t>·以上三项整体效果均较差（0分）</w:t>
            </w:r>
          </w:p>
        </w:tc>
        <w:tc>
          <w:tcPr>
            <w:tcW w:w="1354" w:type="dxa"/>
            <w:vAlign w:val="center"/>
          </w:tcPr>
          <w:p w14:paraId="0661BE6D">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15</w:t>
            </w:r>
          </w:p>
        </w:tc>
      </w:tr>
      <w:tr w14:paraId="6C33F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4A1C30BE">
            <w:pPr>
              <w:adjustRightInd w:val="0"/>
              <w:snapToGrid w:val="0"/>
              <w:jc w:val="center"/>
              <w:rPr>
                <w:rFonts w:hint="eastAsia" w:cs="宋体" w:asciiTheme="minorEastAsia" w:hAnsiTheme="minorEastAsia"/>
                <w:color w:val="auto"/>
                <w:kern w:val="0"/>
                <w:sz w:val="24"/>
                <w:szCs w:val="24"/>
                <w:lang w:eastAsia="zh-CN"/>
              </w:rPr>
            </w:pPr>
          </w:p>
        </w:tc>
        <w:tc>
          <w:tcPr>
            <w:tcW w:w="1907" w:type="dxa"/>
            <w:vMerge w:val="continue"/>
            <w:vAlign w:val="center"/>
          </w:tcPr>
          <w:p w14:paraId="1182F730">
            <w:pPr>
              <w:adjustRightInd w:val="0"/>
              <w:snapToGrid w:val="0"/>
              <w:jc w:val="center"/>
              <w:rPr>
                <w:rFonts w:hint="eastAsia" w:cs="宋体" w:asciiTheme="minorEastAsia" w:hAnsiTheme="minorEastAsia"/>
                <w:color w:val="auto"/>
                <w:sz w:val="24"/>
                <w:szCs w:val="24"/>
                <w:lang w:val="en-US" w:eastAsia="zh-CN"/>
              </w:rPr>
            </w:pPr>
          </w:p>
        </w:tc>
        <w:tc>
          <w:tcPr>
            <w:tcW w:w="6086" w:type="dxa"/>
            <w:vAlign w:val="center"/>
          </w:tcPr>
          <w:p w14:paraId="0E1CB31F">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（2）线下活动视觉物料、美陈设计布置的美观艺术性、主题关联性、安全性（0-15分）</w:t>
            </w:r>
          </w:p>
          <w:p w14:paraId="152D80D4">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w:t>
            </w:r>
            <w:r>
              <w:rPr>
                <w:rFonts w:hint="eastAsia" w:cs="宋体" w:asciiTheme="minorEastAsia" w:hAnsiTheme="minorEastAsia"/>
                <w:color w:val="auto"/>
                <w:sz w:val="24"/>
                <w:szCs w:val="24"/>
                <w:lang w:val="en-US" w:eastAsia="zh-CN"/>
              </w:rPr>
              <w:t>三项均满足要求（10-15分）</w:t>
            </w:r>
          </w:p>
          <w:p w14:paraId="248EBF1E">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·其中两项效果较好，一项较差（5-9分）</w:t>
            </w:r>
          </w:p>
          <w:p w14:paraId="36002999">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·其中一项效果较好，两项较差（1-4分）</w:t>
            </w:r>
          </w:p>
          <w:p w14:paraId="2D48ACB7">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·以上三项整体效果均较差（0分）</w:t>
            </w:r>
          </w:p>
        </w:tc>
        <w:tc>
          <w:tcPr>
            <w:tcW w:w="1354" w:type="dxa"/>
            <w:vAlign w:val="center"/>
          </w:tcPr>
          <w:p w14:paraId="18E05D38">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15</w:t>
            </w:r>
          </w:p>
        </w:tc>
      </w:tr>
      <w:tr w14:paraId="6958A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32C76DF9">
            <w:pPr>
              <w:adjustRightInd w:val="0"/>
              <w:snapToGrid w:val="0"/>
              <w:jc w:val="center"/>
              <w:rPr>
                <w:rFonts w:hint="eastAsia" w:cs="宋体" w:asciiTheme="minorEastAsia" w:hAnsiTheme="minorEastAsia"/>
                <w:color w:val="auto"/>
                <w:kern w:val="0"/>
                <w:sz w:val="24"/>
                <w:szCs w:val="24"/>
                <w:lang w:eastAsia="zh-CN"/>
              </w:rPr>
            </w:pPr>
          </w:p>
        </w:tc>
        <w:tc>
          <w:tcPr>
            <w:tcW w:w="1907" w:type="dxa"/>
            <w:vMerge w:val="continue"/>
            <w:vAlign w:val="center"/>
          </w:tcPr>
          <w:p w14:paraId="4DD65FD0">
            <w:pPr>
              <w:adjustRightInd w:val="0"/>
              <w:snapToGrid w:val="0"/>
              <w:jc w:val="center"/>
              <w:rPr>
                <w:rFonts w:hint="eastAsia" w:cs="宋体" w:asciiTheme="minorEastAsia" w:hAnsiTheme="minorEastAsia"/>
                <w:color w:val="auto"/>
                <w:sz w:val="24"/>
                <w:szCs w:val="24"/>
                <w:lang w:val="en-US" w:eastAsia="zh-CN"/>
              </w:rPr>
            </w:pPr>
          </w:p>
        </w:tc>
        <w:tc>
          <w:tcPr>
            <w:tcW w:w="6086" w:type="dxa"/>
            <w:vAlign w:val="center"/>
          </w:tcPr>
          <w:p w14:paraId="21BB3EA9">
            <w:pPr>
              <w:numPr>
                <w:ilvl w:val="0"/>
                <w:numId w:val="0"/>
              </w:numPr>
              <w:adjustRightInd w:val="0"/>
              <w:snapToGrid w:val="0"/>
              <w:ind w:leftChars="0"/>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（3）达人资源丰富度和执行专业度越高</w:t>
            </w:r>
            <w:r>
              <w:rPr>
                <w:rFonts w:hint="eastAsia" w:cs="宋体" w:asciiTheme="minorEastAsia" w:hAnsiTheme="minorEastAsia"/>
                <w:color w:val="auto"/>
                <w:sz w:val="24"/>
                <w:szCs w:val="24"/>
                <w:lang w:eastAsia="zh-CN"/>
              </w:rPr>
              <w:t>，得分越高（</w:t>
            </w:r>
            <w:r>
              <w:rPr>
                <w:rFonts w:hint="eastAsia" w:cs="宋体" w:asciiTheme="minorEastAsia" w:hAnsiTheme="minorEastAsia"/>
                <w:color w:val="auto"/>
                <w:sz w:val="24"/>
                <w:szCs w:val="24"/>
                <w:lang w:val="en-US" w:eastAsia="zh-CN"/>
              </w:rPr>
              <w:t>0-</w:t>
            </w:r>
            <w:r>
              <w:rPr>
                <w:rFonts w:hint="eastAsia" w:cs="宋体" w:asciiTheme="minorEastAsia" w:hAnsiTheme="minorEastAsia"/>
                <w:color w:val="auto"/>
                <w:sz w:val="24"/>
                <w:szCs w:val="24"/>
                <w:lang w:val="en-US" w:eastAsia="zh-CN"/>
              </w:rPr>
              <w:t>25</w:t>
            </w:r>
            <w:r>
              <w:rPr>
                <w:rFonts w:hint="eastAsia" w:cs="宋体" w:asciiTheme="minorEastAsia" w:hAnsiTheme="minorEastAsia"/>
                <w:color w:val="auto"/>
                <w:sz w:val="24"/>
                <w:szCs w:val="24"/>
                <w:lang w:val="en-US" w:eastAsia="zh-CN"/>
              </w:rPr>
              <w:t>分</w:t>
            </w:r>
            <w:r>
              <w:rPr>
                <w:rFonts w:hint="eastAsia" w:cs="宋体" w:asciiTheme="minorEastAsia" w:hAnsiTheme="minorEastAsia"/>
                <w:color w:val="auto"/>
                <w:sz w:val="24"/>
                <w:szCs w:val="24"/>
                <w:lang w:eastAsia="zh-CN"/>
              </w:rPr>
              <w:t>）</w:t>
            </w:r>
          </w:p>
          <w:p w14:paraId="1A4D7950">
            <w:pPr>
              <w:numPr>
                <w:ilvl w:val="0"/>
                <w:numId w:val="0"/>
              </w:numPr>
              <w:adjustRightInd w:val="0"/>
              <w:snapToGrid w:val="0"/>
              <w:ind w:leftChars="0"/>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团队专业</w:t>
            </w:r>
            <w:r>
              <w:rPr>
                <w:rFonts w:hint="eastAsia" w:asciiTheme="minorEastAsia" w:hAnsiTheme="minorEastAsia" w:eastAsiaTheme="minorEastAsia" w:cstheme="minorEastAsia"/>
                <w:color w:val="auto"/>
                <w:sz w:val="24"/>
                <w:szCs w:val="24"/>
                <w:lang w:val="en-US" w:eastAsia="zh-CN"/>
              </w:rPr>
              <w:t>性】</w:t>
            </w:r>
            <w:r>
              <w:rPr>
                <w:rFonts w:hint="eastAsia" w:asciiTheme="minorEastAsia" w:hAnsiTheme="minorEastAsia" w:cstheme="minorEastAsia"/>
                <w:color w:val="auto"/>
                <w:sz w:val="24"/>
                <w:szCs w:val="24"/>
                <w:lang w:val="en-US" w:eastAsia="zh-CN"/>
              </w:rPr>
              <w:t>（5分）</w:t>
            </w:r>
          </w:p>
          <w:p w14:paraId="4435AD13">
            <w:pPr>
              <w:numPr>
                <w:ilvl w:val="0"/>
                <w:numId w:val="12"/>
              </w:numPr>
              <w:adjustRightInd w:val="0"/>
              <w:snapToGrid w:val="0"/>
              <w:ind w:left="425" w:leftChars="0" w:hanging="425" w:firstLineChars="0"/>
              <w:rPr>
                <w:rFonts w:hint="eastAsia" w:cs="宋体" w:asciiTheme="minorEastAsia" w:hAnsiTheme="minorEastAsia"/>
                <w:color w:val="auto"/>
                <w:sz w:val="24"/>
                <w:szCs w:val="24"/>
                <w:lang w:val="en-US" w:eastAsia="zh-CN"/>
              </w:rPr>
            </w:pPr>
            <w:r>
              <w:rPr>
                <w:rFonts w:hint="eastAsia" w:asciiTheme="minorEastAsia" w:hAnsiTheme="minorEastAsia" w:cstheme="minorEastAsia"/>
                <w:color w:val="auto"/>
                <w:sz w:val="24"/>
                <w:szCs w:val="24"/>
                <w:lang w:val="en-US" w:eastAsia="zh-CN"/>
              </w:rPr>
              <w:t>本项目</w:t>
            </w:r>
            <w:r>
              <w:rPr>
                <w:rFonts w:hint="eastAsia" w:asciiTheme="minorEastAsia" w:hAnsiTheme="minorEastAsia" w:cstheme="minorEastAsia"/>
                <w:b/>
                <w:bCs/>
                <w:color w:val="auto"/>
                <w:sz w:val="24"/>
                <w:szCs w:val="24"/>
                <w:lang w:val="en-US" w:eastAsia="zh-CN"/>
              </w:rPr>
              <w:t>要求所有</w:t>
            </w:r>
            <w:r>
              <w:rPr>
                <w:rFonts w:hint="eastAsia" w:asciiTheme="minorEastAsia" w:hAnsiTheme="minorEastAsia" w:cstheme="minorEastAsia"/>
                <w:b/>
                <w:bCs/>
                <w:color w:val="auto"/>
                <w:sz w:val="24"/>
                <w:szCs w:val="24"/>
                <w:lang w:val="en-US" w:eastAsia="zh-CN"/>
              </w:rPr>
              <w:t>小红书</w:t>
            </w:r>
            <w:r>
              <w:rPr>
                <w:rFonts w:hint="eastAsia" w:asciiTheme="minorEastAsia" w:hAnsiTheme="minorEastAsia" w:cstheme="minorEastAsia"/>
                <w:b/>
                <w:bCs/>
                <w:color w:val="auto"/>
                <w:sz w:val="24"/>
                <w:szCs w:val="24"/>
                <w:lang w:val="en-US" w:eastAsia="zh-CN"/>
              </w:rPr>
              <w:t>达人都走</w:t>
            </w:r>
            <w:r>
              <w:rPr>
                <w:rFonts w:hint="eastAsia" w:asciiTheme="minorEastAsia" w:hAnsiTheme="minorEastAsia" w:cstheme="minorEastAsia"/>
                <w:b/>
                <w:bCs/>
                <w:color w:val="auto"/>
                <w:sz w:val="24"/>
                <w:szCs w:val="24"/>
                <w:lang w:val="en-US" w:eastAsia="zh-CN"/>
              </w:rPr>
              <w:t>蒲公英</w:t>
            </w:r>
            <w:r>
              <w:rPr>
                <w:rFonts w:hint="eastAsia" w:asciiTheme="minorEastAsia" w:hAnsiTheme="minorEastAsia" w:cstheme="minorEastAsia"/>
                <w:color w:val="auto"/>
                <w:sz w:val="24"/>
                <w:szCs w:val="24"/>
                <w:lang w:val="en-US" w:eastAsia="zh-CN"/>
              </w:rPr>
              <w:t>，团队需具备</w:t>
            </w:r>
            <w:r>
              <w:rPr>
                <w:rFonts w:hint="eastAsia" w:asciiTheme="minorEastAsia" w:hAnsiTheme="minorEastAsia" w:cstheme="minorEastAsia"/>
                <w:b/>
                <w:bCs/>
                <w:color w:val="auto"/>
                <w:sz w:val="24"/>
                <w:szCs w:val="24"/>
                <w:lang w:val="en-US" w:eastAsia="zh-CN"/>
              </w:rPr>
              <w:t>蒲公英</w:t>
            </w:r>
            <w:r>
              <w:rPr>
                <w:rFonts w:hint="eastAsia" w:asciiTheme="minorEastAsia" w:hAnsiTheme="minorEastAsia" w:cstheme="minorEastAsia"/>
                <w:b/>
                <w:bCs/>
                <w:color w:val="auto"/>
                <w:sz w:val="24"/>
                <w:szCs w:val="24"/>
                <w:lang w:val="en-US" w:eastAsia="zh-CN"/>
              </w:rPr>
              <w:t>平台采购下单的专业能力</w:t>
            </w:r>
            <w:r>
              <w:rPr>
                <w:rFonts w:hint="eastAsia" w:asciiTheme="minorEastAsia" w:hAnsiTheme="minorEastAsia" w:cstheme="minorEastAsia"/>
                <w:color w:val="auto"/>
                <w:sz w:val="24"/>
                <w:szCs w:val="24"/>
                <w:lang w:val="en-US" w:eastAsia="zh-CN"/>
              </w:rPr>
              <w:t>，包括但不限于达人数据真实性、类型匹配度、内容质量、投流手段等平台专业把控能力。</w:t>
            </w:r>
          </w:p>
          <w:p w14:paraId="3B9BA80A">
            <w:pPr>
              <w:numPr>
                <w:ilvl w:val="0"/>
                <w:numId w:val="0"/>
              </w:numPr>
              <w:adjustRightInd w:val="0"/>
              <w:snapToGrid w:val="0"/>
              <w:ind w:left="420" w:leftChars="200" w:firstLine="0" w:firstLine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与</w:t>
            </w:r>
            <w:r>
              <w:rPr>
                <w:rFonts w:hint="eastAsia" w:cs="宋体" w:asciiTheme="minorEastAsia" w:hAnsiTheme="minorEastAsia"/>
                <w:b/>
                <w:bCs/>
                <w:color w:val="auto"/>
                <w:sz w:val="24"/>
                <w:szCs w:val="24"/>
                <w:lang w:val="en-US" w:eastAsia="zh-CN"/>
              </w:rPr>
              <w:t>小红书</w:t>
            </w:r>
            <w:r>
              <w:rPr>
                <w:rFonts w:hint="eastAsia" w:cs="宋体" w:asciiTheme="minorEastAsia" w:hAnsiTheme="minorEastAsia"/>
                <w:b/>
                <w:bCs/>
                <w:color w:val="auto"/>
                <w:sz w:val="24"/>
                <w:szCs w:val="24"/>
                <w:lang w:val="en-US" w:eastAsia="zh-CN"/>
              </w:rPr>
              <w:t>官方已建联</w:t>
            </w:r>
            <w:r>
              <w:rPr>
                <w:rFonts w:hint="eastAsia" w:cs="宋体" w:asciiTheme="minorEastAsia" w:hAnsiTheme="minorEastAsia"/>
                <w:color w:val="auto"/>
                <w:sz w:val="24"/>
                <w:szCs w:val="24"/>
                <w:lang w:val="en-US" w:eastAsia="zh-CN"/>
              </w:rPr>
              <w:t>，熟悉了解官方运营规则，为甲方赋能，提供实时咨询服务。</w:t>
            </w:r>
          </w:p>
          <w:p w14:paraId="7C88F7D4">
            <w:pPr>
              <w:numPr>
                <w:ilvl w:val="0"/>
                <w:numId w:val="0"/>
              </w:numPr>
              <w:adjustRightInd w:val="0"/>
              <w:snapToGrid w:val="0"/>
              <w:ind w:left="420" w:leftChars="200" w:firstLine="0" w:firstLineChars="0"/>
              <w:rPr>
                <w:rFonts w:hint="eastAsia" w:cs="宋体" w:asciiTheme="minorEastAsia" w:hAnsiTheme="minorEastAsia"/>
                <w:color w:val="auto"/>
                <w:sz w:val="24"/>
                <w:szCs w:val="24"/>
                <w:lang w:val="en-US" w:eastAsia="zh-CN"/>
              </w:rPr>
            </w:pPr>
            <w:r>
              <w:rPr>
                <w:rFonts w:hint="eastAsia" w:cs="宋体" w:asciiTheme="minorEastAsia" w:hAnsiTheme="minorEastAsia"/>
                <w:b/>
                <w:bCs/>
                <w:color w:val="auto"/>
                <w:sz w:val="24"/>
                <w:szCs w:val="24"/>
                <w:lang w:val="en-US" w:eastAsia="zh-CN"/>
              </w:rPr>
              <w:t>专业投手</w:t>
            </w:r>
            <w:r>
              <w:rPr>
                <w:rFonts w:hint="eastAsia" w:cs="宋体" w:asciiTheme="minorEastAsia" w:hAnsiTheme="minorEastAsia"/>
                <w:color w:val="auto"/>
                <w:sz w:val="24"/>
                <w:szCs w:val="24"/>
                <w:lang w:val="en-US" w:eastAsia="zh-CN"/>
              </w:rPr>
              <w:t>加持数据流量，合理分配优化投流费用。</w:t>
            </w:r>
          </w:p>
          <w:p w14:paraId="504760CD">
            <w:pPr>
              <w:numPr>
                <w:ilvl w:val="0"/>
                <w:numId w:val="12"/>
              </w:numPr>
              <w:adjustRightInd w:val="0"/>
              <w:snapToGrid w:val="0"/>
              <w:ind w:left="425" w:leftChars="0" w:hanging="425" w:firstLineChars="0"/>
              <w:rPr>
                <w:rFonts w:hint="default" w:cs="宋体" w:asciiTheme="minorEastAsia" w:hAnsi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评分标准：3项团队能力</w:t>
            </w:r>
            <w:r>
              <w:rPr>
                <w:rFonts w:hint="eastAsia" w:asciiTheme="minorEastAsia" w:hAnsiTheme="minorEastAsia" w:cstheme="minorEastAsia"/>
                <w:color w:val="auto"/>
                <w:sz w:val="24"/>
                <w:szCs w:val="24"/>
                <w:lang w:val="en-US" w:eastAsia="zh-CN"/>
              </w:rPr>
              <w:t>，缺一项扣2分，完整得满分。</w:t>
            </w:r>
          </w:p>
          <w:p w14:paraId="695BAAF8">
            <w:pPr>
              <w:numPr>
                <w:ilvl w:val="0"/>
                <w:numId w:val="0"/>
              </w:numPr>
              <w:adjustRightInd w:val="0"/>
              <w:snapToGrid w:val="0"/>
              <w:ind w:leftChars="0"/>
              <w:rPr>
                <w:rFonts w:hint="default" w:cs="宋体" w:asciiTheme="minorEastAsia" w:hAnsiTheme="minorEastAsia"/>
                <w:color w:val="auto"/>
                <w:sz w:val="24"/>
                <w:szCs w:val="24"/>
                <w:lang w:val="en-US" w:eastAsia="zh-CN"/>
              </w:rPr>
            </w:pPr>
          </w:p>
          <w:p w14:paraId="6079B7F2">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p>
          <w:p w14:paraId="3F6C69AD">
            <w:pPr>
              <w:numPr>
                <w:ilvl w:val="0"/>
                <w:numId w:val="0"/>
              </w:numPr>
              <w:adjustRightInd w:val="0"/>
              <w:snapToGrid w:val="0"/>
              <w:ind w:left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达人运营</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（5分）</w:t>
            </w:r>
          </w:p>
          <w:p w14:paraId="5D959DF3">
            <w:pPr>
              <w:numPr>
                <w:ilvl w:val="0"/>
                <w:numId w:val="13"/>
              </w:numPr>
              <w:adjustRightInd w:val="0"/>
              <w:snapToGrid w:val="0"/>
              <w:ind w:left="425" w:leftChars="0" w:hanging="425"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提供达人brief内容策划编写、梳理；</w:t>
            </w:r>
          </w:p>
          <w:p w14:paraId="512409D9">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 xml:space="preserve">提供达人脚本审核、修改并向采购方确认；                                                             </w:t>
            </w:r>
          </w:p>
          <w:p w14:paraId="7345F19E">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提供达人的组织及现场执行协调；</w:t>
            </w:r>
          </w:p>
          <w:p w14:paraId="59096BEE">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提供达人样片审核、修改并向采购方确认；</w:t>
            </w:r>
          </w:p>
          <w:p w14:paraId="3DB24A97">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组织达人配合采购方，产出视频或图片素材（如达人配合拍摄背影，侧脸，手部特写等）。</w:t>
            </w:r>
          </w:p>
          <w:p w14:paraId="73AB9F42">
            <w:pPr>
              <w:numPr>
                <w:ilvl w:val="0"/>
                <w:numId w:val="13"/>
              </w:numPr>
              <w:adjustRightInd w:val="0"/>
              <w:snapToGrid w:val="0"/>
              <w:ind w:left="425" w:leftChars="0" w:hanging="425" w:firstLine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以上5项，需提供过往执行案例中的对应文件等作为佐证，每符合一项得（1分），全部符合得（5分）。</w:t>
            </w:r>
          </w:p>
          <w:p w14:paraId="786FBEDD">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p>
          <w:p w14:paraId="7C1A3349">
            <w:pPr>
              <w:numPr>
                <w:ilvl w:val="0"/>
                <w:numId w:val="0"/>
              </w:numPr>
              <w:adjustRightInd w:val="0"/>
              <w:snapToGrid w:val="0"/>
              <w:ind w:left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达人资源库</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（5分）</w:t>
            </w:r>
          </w:p>
          <w:p w14:paraId="1EEB7057">
            <w:pPr>
              <w:numPr>
                <w:ilvl w:val="0"/>
                <w:numId w:val="14"/>
              </w:numPr>
              <w:adjustRightInd w:val="0"/>
              <w:snapToGrid w:val="0"/>
              <w:ind w:left="420" w:leftChars="0" w:hanging="420" w:firstLine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依据项目推广需求</w:t>
            </w:r>
            <w:r>
              <w:rPr>
                <w:rFonts w:hint="eastAsia" w:asciiTheme="minorEastAsia" w:hAnsiTheme="minorEastAsia" w:cstheme="minorEastAsia"/>
                <w:color w:val="auto"/>
                <w:sz w:val="24"/>
                <w:szCs w:val="24"/>
                <w:lang w:val="en-US" w:eastAsia="zh-CN"/>
              </w:rPr>
              <w:t>提供</w:t>
            </w:r>
            <w:r>
              <w:rPr>
                <w:rFonts w:hint="eastAsia" w:asciiTheme="minorEastAsia" w:hAnsiTheme="minorEastAsia" w:eastAsiaTheme="minorEastAsia" w:cstheme="minorEastAsia"/>
                <w:color w:val="auto"/>
                <w:sz w:val="24"/>
                <w:szCs w:val="24"/>
                <w:lang w:val="en-US" w:eastAsia="zh-CN"/>
              </w:rPr>
              <w:t>符合品牌调性、推广节点需求、推广产品目标受众的高匹配度达人</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涵盖</w:t>
            </w:r>
            <w:r>
              <w:rPr>
                <w:rStyle w:val="24"/>
                <w:rFonts w:hint="eastAsia" w:eastAsia="宋体" w:cs="宋体" w:asciiTheme="minorEastAsia" w:hAnsiTheme="minorEastAsia"/>
                <w:color w:val="auto"/>
                <w:lang w:val="en-US" w:eastAsia="zh-CN"/>
              </w:rPr>
              <w:t>广东、北京、上海、重庆、成都、湖北</w:t>
            </w:r>
            <w:r>
              <w:rPr>
                <w:rFonts w:hint="eastAsia" w:asciiTheme="minorEastAsia" w:hAnsiTheme="minorEastAsia" w:cstheme="minorEastAsia"/>
                <w:color w:val="auto"/>
                <w:sz w:val="24"/>
                <w:szCs w:val="24"/>
                <w:lang w:val="en-US" w:eastAsia="zh-CN"/>
              </w:rPr>
              <w:t>地域主流达人）</w:t>
            </w:r>
            <w:r>
              <w:rPr>
                <w:rFonts w:hint="eastAsia" w:asciiTheme="minorEastAsia" w:hAnsiTheme="minorEastAsia" w:eastAsiaTheme="minorEastAsia" w:cstheme="minorEastAsia"/>
                <w:color w:val="auto"/>
                <w:sz w:val="24"/>
                <w:szCs w:val="24"/>
                <w:lang w:val="en-US" w:eastAsia="zh-CN"/>
              </w:rPr>
              <w:t>，垂类标签丰富</w:t>
            </w:r>
            <w:r>
              <w:rPr>
                <w:rFonts w:hint="eastAsia" w:asciiTheme="minorEastAsia" w:hAnsiTheme="minorEastAsia" w:cstheme="minorEastAsia"/>
                <w:color w:val="auto"/>
                <w:sz w:val="24"/>
                <w:szCs w:val="24"/>
                <w:lang w:val="en-US" w:eastAsia="zh-CN"/>
              </w:rPr>
              <w:t>。需要有达人自主孵化能力，需提供自有达人库名单；</w:t>
            </w:r>
            <w:r>
              <w:rPr>
                <w:rFonts w:hint="eastAsia" w:asciiTheme="minorEastAsia" w:hAnsiTheme="minorEastAsia" w:cstheme="minorEastAsia"/>
                <w:b/>
                <w:bCs/>
                <w:color w:val="auto"/>
                <w:sz w:val="24"/>
                <w:szCs w:val="24"/>
                <w:lang w:val="en-US" w:eastAsia="zh-CN"/>
              </w:rPr>
              <w:t>提供过往同等级项目复盘报告至少1个，且需要现场做案例解读。达人资源以表格形式整理，分级呈现达人详细信息。</w:t>
            </w:r>
            <w:r>
              <w:rPr>
                <w:rFonts w:hint="eastAsia" w:asciiTheme="minorEastAsia" w:hAnsiTheme="minorEastAsia" w:cstheme="minorEastAsia"/>
                <w:b/>
                <w:bCs/>
                <w:color w:val="auto"/>
                <w:sz w:val="24"/>
                <w:szCs w:val="24"/>
                <w:lang w:val="en-US" w:eastAsia="zh-CN"/>
              </w:rPr>
              <w:t>投标人应确保所提供名单为本项目真实可用的达人名单。</w:t>
            </w:r>
          </w:p>
          <w:p w14:paraId="526F1720">
            <w:pPr>
              <w:numPr>
                <w:ilvl w:val="0"/>
                <w:numId w:val="14"/>
              </w:numPr>
              <w:adjustRightInd w:val="0"/>
              <w:snapToGrid w:val="0"/>
              <w:ind w:left="420" w:leftChars="0" w:hanging="420" w:firstLine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提供的达人名单，不符合或少部分符合项目要求（0-1分）；提供的达人名单，基本符合项目要求，但在达人量级/标签/数量等维度有部分欠缺（2-3分）；提供的达人名单完全匹配项目需求，内容详尽，资源丰富且优质（4-5分）。</w:t>
            </w:r>
          </w:p>
          <w:p w14:paraId="72FE7325">
            <w:pPr>
              <w:widowControl w:val="0"/>
              <w:numPr>
                <w:ilvl w:val="0"/>
                <w:numId w:val="0"/>
              </w:numPr>
              <w:adjustRightInd w:val="0"/>
              <w:snapToGrid w:val="0"/>
              <w:jc w:val="both"/>
              <w:rPr>
                <w:rFonts w:hint="eastAsia" w:asciiTheme="minorEastAsia" w:hAnsiTheme="minorEastAsia" w:cstheme="minorEastAsia"/>
                <w:color w:val="auto"/>
                <w:sz w:val="24"/>
                <w:szCs w:val="24"/>
                <w:lang w:val="en-US" w:eastAsia="zh-CN"/>
              </w:rPr>
            </w:pPr>
          </w:p>
          <w:p w14:paraId="09FF999E">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r>
              <w:rPr>
                <w:rFonts w:hint="default" w:asciiTheme="minorEastAsia" w:hAnsiTheme="minorEastAsia" w:cstheme="minorEastAsia"/>
                <w:color w:val="auto"/>
                <w:sz w:val="24"/>
                <w:szCs w:val="24"/>
                <w:lang w:val="en-US" w:eastAsia="zh-CN"/>
              </w:rPr>
              <w:t>【运营支持】</w:t>
            </w:r>
            <w:r>
              <w:rPr>
                <w:rFonts w:hint="eastAsia" w:asciiTheme="minorEastAsia" w:hAnsiTheme="minorEastAsia" w:cstheme="minorEastAsia"/>
                <w:color w:val="auto"/>
                <w:sz w:val="24"/>
                <w:szCs w:val="24"/>
                <w:lang w:val="en-US" w:eastAsia="zh-CN"/>
              </w:rPr>
              <w:t>（5分）</w:t>
            </w:r>
          </w:p>
          <w:p w14:paraId="5510E2FB">
            <w:pPr>
              <w:numPr>
                <w:ilvl w:val="0"/>
                <w:numId w:val="15"/>
              </w:numPr>
              <w:adjustRightInd w:val="0"/>
              <w:snapToGrid w:val="0"/>
              <w:ind w:left="420" w:leftChars="0" w:hanging="420" w:firstLineChars="0"/>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具有</w:t>
            </w:r>
            <w:r>
              <w:rPr>
                <w:rFonts w:hint="default" w:asciiTheme="minorEastAsia" w:hAnsiTheme="minorEastAsia" w:cstheme="minorEastAsia"/>
                <w:b/>
                <w:bCs/>
                <w:color w:val="auto"/>
                <w:sz w:val="24"/>
                <w:szCs w:val="24"/>
                <w:lang w:val="en-US" w:eastAsia="zh-CN"/>
              </w:rPr>
              <w:t>热点策划</w:t>
            </w:r>
            <w:r>
              <w:rPr>
                <w:rFonts w:hint="eastAsia" w:asciiTheme="minorEastAsia" w:hAnsiTheme="minorEastAsia" w:cstheme="minorEastAsia"/>
                <w:b/>
                <w:bCs/>
                <w:color w:val="auto"/>
                <w:sz w:val="24"/>
                <w:szCs w:val="24"/>
                <w:lang w:val="en-US" w:eastAsia="zh-CN"/>
              </w:rPr>
              <w:t>能力</w:t>
            </w:r>
            <w:r>
              <w:rPr>
                <w:rFonts w:hint="default" w:asciiTheme="minorEastAsia" w:hAnsiTheme="minorEastAsia" w:cstheme="minorEastAsia"/>
                <w:b/>
                <w:bCs/>
                <w:color w:val="auto"/>
                <w:sz w:val="24"/>
                <w:szCs w:val="24"/>
                <w:lang w:val="en-US" w:eastAsia="zh-CN"/>
              </w:rPr>
              <w:t>，</w:t>
            </w:r>
            <w:r>
              <w:rPr>
                <w:rFonts w:hint="eastAsia" w:asciiTheme="minorEastAsia" w:hAnsiTheme="minorEastAsia" w:cstheme="minorEastAsia"/>
                <w:b/>
                <w:bCs/>
                <w:color w:val="auto"/>
                <w:sz w:val="24"/>
                <w:szCs w:val="24"/>
                <w:lang w:val="en-US" w:eastAsia="zh-CN"/>
              </w:rPr>
              <w:t>能整合资源</w:t>
            </w:r>
            <w:r>
              <w:rPr>
                <w:rFonts w:hint="default" w:asciiTheme="minorEastAsia" w:hAnsiTheme="minorEastAsia" w:cstheme="minorEastAsia"/>
                <w:b/>
                <w:bCs/>
                <w:color w:val="auto"/>
                <w:sz w:val="24"/>
                <w:szCs w:val="24"/>
                <w:lang w:val="en-US" w:eastAsia="zh-CN"/>
              </w:rPr>
              <w:t>冲刺同城热点</w:t>
            </w:r>
            <w:r>
              <w:rPr>
                <w:rFonts w:hint="default" w:asciiTheme="minorEastAsia" w:hAnsiTheme="minorEastAsia" w:cstheme="minorEastAsia"/>
                <w:color w:val="auto"/>
                <w:sz w:val="24"/>
                <w:szCs w:val="24"/>
                <w:lang w:val="en-US" w:eastAsia="zh-CN"/>
              </w:rPr>
              <w:t>；</w:t>
            </w:r>
          </w:p>
          <w:p w14:paraId="5C0A3D07">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具有</w:t>
            </w:r>
            <w:r>
              <w:rPr>
                <w:rFonts w:hint="default" w:asciiTheme="minorEastAsia" w:hAnsiTheme="minorEastAsia" w:cstheme="minorEastAsia"/>
                <w:color w:val="auto"/>
                <w:sz w:val="24"/>
                <w:szCs w:val="24"/>
                <w:lang w:val="en-US" w:eastAsia="zh-CN"/>
              </w:rPr>
              <w:t>针对平台特性制定投放策略</w:t>
            </w:r>
            <w:r>
              <w:rPr>
                <w:rFonts w:hint="eastAsia" w:asciiTheme="minorEastAsia" w:hAnsiTheme="minorEastAsia" w:cstheme="minorEastAsia"/>
                <w:color w:val="auto"/>
                <w:sz w:val="24"/>
                <w:szCs w:val="24"/>
                <w:lang w:val="en-US" w:eastAsia="zh-CN"/>
              </w:rPr>
              <w:t>的能力及案例</w:t>
            </w:r>
            <w:r>
              <w:rPr>
                <w:rFonts w:hint="default" w:asciiTheme="minorEastAsia" w:hAnsiTheme="minorEastAsia" w:cstheme="minorEastAsia"/>
                <w:color w:val="auto"/>
                <w:sz w:val="24"/>
                <w:szCs w:val="24"/>
                <w:lang w:val="en-US" w:eastAsia="zh-CN"/>
              </w:rPr>
              <w:t>，包括关键词选择、内容选择、KOL/KOC筛选、投放节奏等</w:t>
            </w:r>
            <w:r>
              <w:rPr>
                <w:rFonts w:hint="eastAsia" w:asciiTheme="minorEastAsia" w:hAnsiTheme="minorEastAsia" w:cstheme="minorEastAsia"/>
                <w:color w:val="auto"/>
                <w:sz w:val="24"/>
                <w:szCs w:val="24"/>
                <w:lang w:val="en-US" w:eastAsia="zh-CN"/>
              </w:rPr>
              <w:t>。</w:t>
            </w:r>
            <w:r>
              <w:rPr>
                <w:rFonts w:hint="default" w:asciiTheme="minorEastAsia" w:hAnsiTheme="minorEastAsia" w:cstheme="minorEastAsia"/>
                <w:color w:val="auto"/>
                <w:sz w:val="24"/>
                <w:szCs w:val="24"/>
                <w:lang w:val="en-US" w:eastAsia="zh-CN"/>
              </w:rPr>
              <w:t>策略清晰、适配</w:t>
            </w:r>
            <w:r>
              <w:rPr>
                <w:rFonts w:hint="eastAsia" w:asciiTheme="minorEastAsia" w:hAnsiTheme="minorEastAsia" w:cstheme="minorEastAsia"/>
                <w:color w:val="auto"/>
                <w:sz w:val="24"/>
                <w:szCs w:val="24"/>
                <w:lang w:val="en-US" w:eastAsia="zh-CN"/>
              </w:rPr>
              <w:t>需求且</w:t>
            </w:r>
            <w:r>
              <w:rPr>
                <w:rFonts w:hint="default" w:asciiTheme="minorEastAsia" w:hAnsiTheme="minorEastAsia" w:cstheme="minorEastAsia"/>
                <w:color w:val="auto"/>
                <w:sz w:val="24"/>
                <w:szCs w:val="24"/>
                <w:lang w:val="en-US" w:eastAsia="zh-CN"/>
              </w:rPr>
              <w:t>可执行度高</w:t>
            </w:r>
            <w:r>
              <w:rPr>
                <w:rFonts w:hint="eastAsia" w:asciiTheme="minorEastAsia" w:hAnsiTheme="minorEastAsia" w:cstheme="minorEastAsia"/>
                <w:color w:val="auto"/>
                <w:sz w:val="24"/>
                <w:szCs w:val="24"/>
                <w:lang w:val="en-US" w:eastAsia="zh-CN"/>
              </w:rPr>
              <w:t>；</w:t>
            </w:r>
          </w:p>
          <w:p w14:paraId="24040856">
            <w:pPr>
              <w:numPr>
                <w:ilvl w:val="0"/>
                <w:numId w:val="0"/>
              </w:numPr>
              <w:adjustRightInd w:val="0"/>
              <w:snapToGrid w:val="0"/>
              <w:ind w:left="420" w:leftChars="200" w:firstLine="0" w:firstLineChars="0"/>
              <w:rPr>
                <w:rFonts w:hint="eastAsia" w:asciiTheme="minorEastAsia" w:hAnsiTheme="minorEastAsia" w:cstheme="minorEastAsia"/>
                <w:b/>
                <w:bCs/>
                <w:color w:val="auto"/>
                <w:sz w:val="24"/>
                <w:szCs w:val="24"/>
                <w:lang w:val="en-US" w:eastAsia="zh-CN"/>
              </w:rPr>
            </w:pPr>
            <w:r>
              <w:rPr>
                <w:rFonts w:hint="eastAsia" w:asciiTheme="minorEastAsia" w:hAnsiTheme="minorEastAsia" w:cstheme="minorEastAsia"/>
                <w:color w:val="auto"/>
                <w:sz w:val="24"/>
                <w:szCs w:val="24"/>
                <w:lang w:val="en-US" w:eastAsia="zh-CN"/>
              </w:rPr>
              <w:t>具有</w:t>
            </w:r>
            <w:r>
              <w:rPr>
                <w:rFonts w:hint="default" w:asciiTheme="minorEastAsia" w:hAnsiTheme="minorEastAsia" w:cstheme="minorEastAsia"/>
                <w:color w:val="auto"/>
                <w:sz w:val="24"/>
                <w:szCs w:val="24"/>
                <w:lang w:val="en-US" w:eastAsia="zh-CN"/>
              </w:rPr>
              <w:t>内容发布后，</w:t>
            </w:r>
            <w:r>
              <w:rPr>
                <w:rFonts w:hint="default" w:asciiTheme="minorEastAsia" w:hAnsiTheme="minorEastAsia" w:cstheme="minorEastAsia"/>
                <w:b/>
                <w:bCs/>
                <w:color w:val="auto"/>
                <w:sz w:val="24"/>
                <w:szCs w:val="24"/>
                <w:lang w:val="en-US" w:eastAsia="zh-CN"/>
              </w:rPr>
              <w:t>数据追踪及监控</w:t>
            </w:r>
            <w:r>
              <w:rPr>
                <w:rFonts w:hint="eastAsia" w:asciiTheme="minorEastAsia" w:hAnsiTheme="minorEastAsia" w:cstheme="minorEastAsia"/>
                <w:b/>
                <w:bCs/>
                <w:color w:val="auto"/>
                <w:sz w:val="24"/>
                <w:szCs w:val="24"/>
                <w:lang w:val="en-US" w:eastAsia="zh-CN"/>
              </w:rPr>
              <w:t>能力</w:t>
            </w:r>
            <w:r>
              <w:rPr>
                <w:rFonts w:hint="eastAsia" w:asciiTheme="minorEastAsia" w:hAnsiTheme="minorEastAsia" w:cstheme="minorEastAsia"/>
                <w:color w:val="auto"/>
                <w:sz w:val="24"/>
                <w:szCs w:val="24"/>
                <w:lang w:val="en-US" w:eastAsia="zh-CN"/>
              </w:rPr>
              <w:t>。</w:t>
            </w:r>
            <w:r>
              <w:rPr>
                <w:rFonts w:hint="default" w:asciiTheme="minorEastAsia" w:hAnsiTheme="minorEastAsia" w:cstheme="minorEastAsia"/>
                <w:color w:val="auto"/>
                <w:sz w:val="24"/>
                <w:szCs w:val="24"/>
                <w:lang w:val="en-US" w:eastAsia="zh-CN"/>
              </w:rPr>
              <w:t>针对社交媒体各类突发负面舆情，有行之有效的应对策略与沟通技巧，针对KOL、KOC、素人有不同的处理方案，展示危机公关的成功案例为加分项</w:t>
            </w:r>
            <w:r>
              <w:rPr>
                <w:rFonts w:hint="eastAsia" w:asciiTheme="minorEastAsia" w:hAnsiTheme="minorEastAsia" w:cstheme="minorEastAsia"/>
                <w:color w:val="auto"/>
                <w:sz w:val="24"/>
                <w:szCs w:val="24"/>
                <w:lang w:val="en-US" w:eastAsia="zh-CN"/>
              </w:rPr>
              <w:t>；</w:t>
            </w:r>
          </w:p>
          <w:p w14:paraId="558189AD">
            <w:pPr>
              <w:numPr>
                <w:ilvl w:val="0"/>
                <w:numId w:val="0"/>
              </w:numPr>
              <w:adjustRightInd w:val="0"/>
              <w:snapToGrid w:val="0"/>
              <w:ind w:left="420" w:leftChars="200" w:firstLine="0" w:firstLineChars="0"/>
              <w:rPr>
                <w:rFonts w:hint="default" w:asciiTheme="minorEastAsia" w:hAnsiTheme="minorEastAsia" w:cstheme="minorEastAsia"/>
                <w:color w:val="auto"/>
                <w:sz w:val="24"/>
                <w:szCs w:val="24"/>
                <w:lang w:val="en-US" w:eastAsia="zh-CN"/>
              </w:rPr>
            </w:pPr>
            <w:r>
              <w:rPr>
                <w:rFonts w:hint="default" w:asciiTheme="minorEastAsia" w:hAnsiTheme="minorEastAsia" w:cstheme="minorEastAsia"/>
                <w:color w:val="auto"/>
                <w:sz w:val="24"/>
                <w:szCs w:val="24"/>
                <w:lang w:val="en-US" w:eastAsia="zh-CN"/>
              </w:rPr>
              <w:t>具有较强的博主约束力，所有博主的报价在执行期内 均可执行发布、不可进行涨价。</w:t>
            </w:r>
          </w:p>
          <w:p w14:paraId="26955CDB">
            <w:pPr>
              <w:numPr>
                <w:ilvl w:val="0"/>
                <w:numId w:val="15"/>
              </w:numPr>
              <w:adjustRightInd w:val="0"/>
              <w:snapToGrid w:val="0"/>
              <w:ind w:left="420" w:leftChars="0" w:hanging="420" w:firstLineChars="0"/>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以上4条需求，需提供案例支撑，每匹配一条得（1分），全部匹配得（5分）。</w:t>
            </w:r>
          </w:p>
          <w:p w14:paraId="596C1BDD">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p>
          <w:p w14:paraId="50397CA1">
            <w:pPr>
              <w:widowControl w:val="0"/>
              <w:numPr>
                <w:ilvl w:val="0"/>
                <w:numId w:val="0"/>
              </w:numPr>
              <w:adjustRightInd w:val="0"/>
              <w:snapToGrid w:val="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后端支持</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（5分）</w:t>
            </w:r>
          </w:p>
          <w:p w14:paraId="4A65D0D4">
            <w:pPr>
              <w:numPr>
                <w:ilvl w:val="0"/>
                <w:numId w:val="16"/>
              </w:numPr>
              <w:adjustRightInd w:val="0"/>
              <w:snapToGrid w:val="0"/>
              <w:ind w:left="420" w:leftChars="0" w:hanging="42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项目涉及跨省执行，投标方需派遣专人对接组织，采购方不再另行负责人工成本和执行差旅；</w:t>
            </w:r>
          </w:p>
          <w:p w14:paraId="79260E84">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项目配置专业摄影师定点或跟船拍摄。</w:t>
            </w:r>
            <w:r>
              <w:rPr>
                <w:rFonts w:hint="eastAsia" w:asciiTheme="minorEastAsia" w:hAnsiTheme="minorEastAsia" w:cstheme="minorEastAsia"/>
                <w:b/>
                <w:bCs/>
                <w:color w:val="auto"/>
                <w:sz w:val="24"/>
                <w:szCs w:val="24"/>
                <w:lang w:val="en-US" w:eastAsia="zh-CN"/>
              </w:rPr>
              <w:t>投标方需在每次的单项执行中，派遣摄影师现场拍摄素材，用于KOC云剪或者官号素材</w:t>
            </w:r>
            <w:r>
              <w:rPr>
                <w:rFonts w:hint="eastAsia" w:asciiTheme="minorEastAsia" w:hAnsiTheme="minorEastAsia" w:cstheme="minorEastAsia"/>
                <w:color w:val="auto"/>
                <w:sz w:val="24"/>
                <w:szCs w:val="24"/>
                <w:lang w:val="en-US" w:eastAsia="zh-CN"/>
              </w:rPr>
              <w:t>；</w:t>
            </w:r>
          </w:p>
          <w:p w14:paraId="14D9AE86">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结案复盘：</w:t>
            </w:r>
            <w:r>
              <w:rPr>
                <w:rFonts w:hint="eastAsia" w:asciiTheme="minorEastAsia" w:hAnsiTheme="minorEastAsia" w:cstheme="minorEastAsia"/>
                <w:color w:val="auto"/>
                <w:sz w:val="24"/>
                <w:szCs w:val="24"/>
                <w:lang w:val="en-US" w:eastAsia="zh-CN"/>
              </w:rPr>
              <w:t>项目结束后，依据项目推广情况，对项目全案进行复盘总结，并提出专业优化建议。</w:t>
            </w:r>
          </w:p>
          <w:p w14:paraId="1F710539">
            <w:pPr>
              <w:numPr>
                <w:ilvl w:val="0"/>
                <w:numId w:val="16"/>
              </w:numPr>
              <w:adjustRightInd w:val="0"/>
              <w:snapToGrid w:val="0"/>
              <w:ind w:left="420" w:leftChars="0" w:hanging="420" w:firstLineChars="0"/>
              <w:rPr>
                <w:rFonts w:hint="eastAsia" w:cs="宋体" w:asciiTheme="minorEastAsia" w:hAnsi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评分标准：以上</w:t>
            </w:r>
            <w:r>
              <w:rPr>
                <w:rFonts w:hint="eastAsia" w:asciiTheme="minorEastAsia" w:hAnsiTheme="minorEastAsia" w:cstheme="minorEastAsia"/>
                <w:b/>
                <w:bCs/>
                <w:color w:val="auto"/>
                <w:sz w:val="24"/>
                <w:szCs w:val="24"/>
                <w:lang w:val="en-US" w:eastAsia="zh-CN"/>
              </w:rPr>
              <w:t>3条</w:t>
            </w:r>
            <w:r>
              <w:rPr>
                <w:rFonts w:hint="eastAsia" w:asciiTheme="minorEastAsia" w:hAnsiTheme="minorEastAsia" w:cstheme="minorEastAsia"/>
                <w:color w:val="auto"/>
                <w:sz w:val="24"/>
                <w:szCs w:val="24"/>
                <w:lang w:val="en-US" w:eastAsia="zh-CN"/>
              </w:rPr>
              <w:t>，缺一项扣2分，完整得满分。</w:t>
            </w:r>
          </w:p>
        </w:tc>
        <w:tc>
          <w:tcPr>
            <w:tcW w:w="1354" w:type="dxa"/>
            <w:vAlign w:val="center"/>
          </w:tcPr>
          <w:p w14:paraId="794196C6">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25</w:t>
            </w:r>
          </w:p>
        </w:tc>
      </w:tr>
      <w:tr w14:paraId="54508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7AAEB196">
            <w:pPr>
              <w:adjustRightInd w:val="0"/>
              <w:snapToGrid w:val="0"/>
              <w:jc w:val="center"/>
              <w:rPr>
                <w:rFonts w:hint="eastAsia" w:cs="宋体" w:asciiTheme="minorEastAsia" w:hAnsiTheme="minorEastAsia"/>
                <w:color w:val="auto"/>
                <w:kern w:val="0"/>
                <w:sz w:val="24"/>
                <w:szCs w:val="24"/>
                <w:lang w:eastAsia="zh-CN"/>
              </w:rPr>
            </w:pPr>
          </w:p>
        </w:tc>
        <w:tc>
          <w:tcPr>
            <w:tcW w:w="1907" w:type="dxa"/>
            <w:vMerge w:val="continue"/>
            <w:vAlign w:val="center"/>
          </w:tcPr>
          <w:p w14:paraId="0BD79546">
            <w:pPr>
              <w:adjustRightInd w:val="0"/>
              <w:snapToGrid w:val="0"/>
              <w:jc w:val="center"/>
              <w:rPr>
                <w:rFonts w:hint="eastAsia" w:cs="宋体" w:asciiTheme="minorEastAsia" w:hAnsiTheme="minorEastAsia"/>
                <w:color w:val="auto"/>
                <w:sz w:val="24"/>
                <w:szCs w:val="24"/>
                <w:lang w:val="en-US" w:eastAsia="zh-CN"/>
              </w:rPr>
            </w:pPr>
          </w:p>
        </w:tc>
        <w:tc>
          <w:tcPr>
            <w:tcW w:w="6086" w:type="dxa"/>
            <w:vAlign w:val="center"/>
          </w:tcPr>
          <w:p w14:paraId="624F7FC0">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（4）线上活动互动玩法适配性、文案视觉内容创意性、规划内容是否兼顾平台调性和品牌调性（0-10分）</w:t>
            </w:r>
          </w:p>
          <w:p w14:paraId="4CB446C2">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·三项均满足要求（10分）</w:t>
            </w:r>
          </w:p>
          <w:p w14:paraId="7FC0F804">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·其中两项效果较好，一项较差（5-9分）</w:t>
            </w:r>
          </w:p>
          <w:p w14:paraId="711E3828">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·其中一项效果较好，两项较差（1-4分）</w:t>
            </w:r>
          </w:p>
          <w:p w14:paraId="78BE48C9">
            <w:pPr>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·以上三项整体效果均较差（0分）</w:t>
            </w:r>
          </w:p>
        </w:tc>
        <w:tc>
          <w:tcPr>
            <w:tcW w:w="1354" w:type="dxa"/>
            <w:vAlign w:val="center"/>
          </w:tcPr>
          <w:p w14:paraId="6DDE3ADF">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10</w:t>
            </w:r>
          </w:p>
        </w:tc>
      </w:tr>
      <w:tr w14:paraId="48FC7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continue"/>
            <w:vAlign w:val="center"/>
          </w:tcPr>
          <w:p w14:paraId="06615272">
            <w:pPr>
              <w:adjustRightInd w:val="0"/>
              <w:snapToGrid w:val="0"/>
              <w:jc w:val="center"/>
              <w:rPr>
                <w:rFonts w:hint="eastAsia" w:cs="宋体" w:asciiTheme="minorEastAsia" w:hAnsiTheme="minorEastAsia"/>
                <w:color w:val="auto"/>
                <w:kern w:val="0"/>
                <w:sz w:val="24"/>
                <w:szCs w:val="24"/>
                <w:lang w:eastAsia="zh-CN"/>
              </w:rPr>
            </w:pPr>
          </w:p>
        </w:tc>
        <w:tc>
          <w:tcPr>
            <w:tcW w:w="1907" w:type="dxa"/>
            <w:vMerge w:val="continue"/>
            <w:vAlign w:val="center"/>
          </w:tcPr>
          <w:p w14:paraId="75C6C24F">
            <w:pPr>
              <w:adjustRightInd w:val="0"/>
              <w:snapToGrid w:val="0"/>
              <w:jc w:val="center"/>
              <w:rPr>
                <w:rFonts w:hint="eastAsia" w:cs="宋体" w:asciiTheme="minorEastAsia" w:hAnsiTheme="minorEastAsia"/>
                <w:color w:val="auto"/>
                <w:sz w:val="24"/>
                <w:szCs w:val="24"/>
                <w:lang w:val="en-US" w:eastAsia="zh-CN"/>
              </w:rPr>
            </w:pPr>
          </w:p>
        </w:tc>
        <w:tc>
          <w:tcPr>
            <w:tcW w:w="6086" w:type="dxa"/>
            <w:vAlign w:val="center"/>
          </w:tcPr>
          <w:p w14:paraId="356E1958">
            <w:pPr>
              <w:adjustRightInd w:val="0"/>
              <w:snapToGrid w:val="0"/>
              <w:rPr>
                <w:rFonts w:hint="eastAsia" w:cs="宋体" w:asciiTheme="minorEastAsia" w:hAnsiTheme="minorEastAsia"/>
                <w:color w:val="auto"/>
                <w:sz w:val="24"/>
                <w:szCs w:val="24"/>
                <w:lang w:val="en-US" w:eastAsia="zh-CN"/>
              </w:rPr>
            </w:pPr>
            <w:r>
              <w:rPr>
                <w:rFonts w:hint="default" w:cs="宋体" w:asciiTheme="minorEastAsia" w:hAnsiTheme="minorEastAsia" w:eastAsiaTheme="minorEastAsia"/>
                <w:color w:val="auto"/>
                <w:kern w:val="2"/>
                <w:sz w:val="24"/>
                <w:szCs w:val="24"/>
                <w:lang w:val="en-US" w:eastAsia="zh-CN" w:bidi="ar-SA"/>
              </w:rPr>
              <w:t>(</w:t>
            </w:r>
            <w:r>
              <w:rPr>
                <w:rFonts w:hint="eastAsia" w:cs="宋体" w:asciiTheme="minorEastAsia" w:hAnsiTheme="minorEastAsia"/>
                <w:color w:val="auto"/>
                <w:kern w:val="2"/>
                <w:sz w:val="24"/>
                <w:szCs w:val="24"/>
                <w:lang w:val="en-US" w:eastAsia="zh-CN" w:bidi="ar-SA"/>
              </w:rPr>
              <w:t>5</w:t>
            </w:r>
            <w:r>
              <w:rPr>
                <w:rFonts w:hint="default" w:cs="宋体" w:asciiTheme="minorEastAsia" w:hAnsiTheme="minorEastAsia" w:eastAsiaTheme="minorEastAsia"/>
                <w:color w:val="auto"/>
                <w:kern w:val="2"/>
                <w:sz w:val="24"/>
                <w:szCs w:val="24"/>
                <w:lang w:val="en-US" w:eastAsia="zh-CN" w:bidi="ar-SA"/>
              </w:rPr>
              <w:t>)</w:t>
            </w:r>
            <w:r>
              <w:rPr>
                <w:rFonts w:hint="eastAsia" w:cs="宋体" w:asciiTheme="minorEastAsia" w:hAnsiTheme="minorEastAsia"/>
                <w:color w:val="auto"/>
                <w:sz w:val="24"/>
                <w:szCs w:val="24"/>
                <w:lang w:eastAsia="zh-CN"/>
              </w:rPr>
              <w:t>供应商在满足项目需求的基础上，以</w:t>
            </w:r>
            <w:r>
              <w:rPr>
                <w:rFonts w:hint="eastAsia" w:cs="宋体" w:asciiTheme="minorEastAsia" w:hAnsiTheme="minorEastAsia"/>
                <w:color w:val="auto"/>
                <w:sz w:val="24"/>
                <w:szCs w:val="24"/>
                <w:lang w:val="en-US" w:eastAsia="zh-CN"/>
              </w:rPr>
              <w:t>丰富的资源和执行能力达成最佳宣传效果。</w:t>
            </w:r>
          </w:p>
          <w:p w14:paraId="0433D8C3">
            <w:pPr>
              <w:numPr>
                <w:ilvl w:val="0"/>
                <w:numId w:val="0"/>
              </w:numPr>
              <w:adjustRightInd w:val="0"/>
              <w:snapToGrid w:val="0"/>
              <w:ind w:left="0" w:leftChars="0" w:firstLine="0" w:firstLine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eastAsia="zh-CN"/>
              </w:rPr>
              <w:t>总</w:t>
            </w:r>
            <w:r>
              <w:rPr>
                <w:rFonts w:hint="eastAsia" w:cs="宋体" w:asciiTheme="minorEastAsia" w:hAnsiTheme="minorEastAsia"/>
                <w:color w:val="auto"/>
                <w:sz w:val="24"/>
                <w:szCs w:val="24"/>
                <w:lang w:val="en-US" w:eastAsia="zh-CN"/>
              </w:rPr>
              <w:t>曝光</w:t>
            </w:r>
            <w:r>
              <w:rPr>
                <w:rFonts w:hint="eastAsia" w:cs="宋体" w:asciiTheme="minorEastAsia" w:hAnsiTheme="minorEastAsia"/>
                <w:color w:val="auto"/>
                <w:sz w:val="24"/>
                <w:szCs w:val="24"/>
                <w:lang w:eastAsia="zh-CN"/>
              </w:rPr>
              <w:t>量越高</w:t>
            </w:r>
            <w:r>
              <w:rPr>
                <w:rFonts w:hint="eastAsia" w:cs="宋体" w:asciiTheme="minorEastAsia" w:hAnsiTheme="minorEastAsia"/>
                <w:color w:val="auto"/>
                <w:sz w:val="24"/>
                <w:szCs w:val="24"/>
                <w:lang w:eastAsia="zh-CN"/>
              </w:rPr>
              <w:t>，得分越高（</w:t>
            </w:r>
            <w:r>
              <w:rPr>
                <w:rFonts w:hint="eastAsia" w:cs="宋体" w:asciiTheme="minorEastAsia" w:hAnsiTheme="minorEastAsia"/>
                <w:color w:val="auto"/>
                <w:sz w:val="24"/>
                <w:szCs w:val="24"/>
                <w:lang w:val="en-US" w:eastAsia="zh-CN"/>
              </w:rPr>
              <w:t>0-10分</w:t>
            </w:r>
            <w:r>
              <w:rPr>
                <w:rFonts w:hint="eastAsia" w:cs="宋体" w:asciiTheme="minorEastAsia" w:hAnsiTheme="minorEastAsia"/>
                <w:color w:val="auto"/>
                <w:sz w:val="24"/>
                <w:szCs w:val="24"/>
                <w:lang w:eastAsia="zh-CN"/>
              </w:rPr>
              <w:t>）</w:t>
            </w:r>
          </w:p>
          <w:p w14:paraId="272CE737">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ascii="宋体" w:hAnsi="宋体" w:eastAsia="宋体" w:cs="宋体"/>
                <w:color w:val="auto"/>
                <w:sz w:val="24"/>
                <w:szCs w:val="24"/>
                <w:lang w:eastAsia="zh-CN"/>
              </w:rPr>
              <w:t>以</w:t>
            </w:r>
            <w:r>
              <w:rPr>
                <w:rFonts w:ascii="宋体" w:hAnsi="宋体" w:eastAsia="宋体" w:cs="宋体"/>
                <w:color w:val="auto"/>
                <w:sz w:val="24"/>
                <w:szCs w:val="24"/>
              </w:rPr>
              <w:t>响应</w:t>
            </w:r>
            <w:r>
              <w:rPr>
                <w:rFonts w:hint="eastAsia" w:ascii="宋体" w:hAnsi="宋体" w:eastAsia="宋体" w:cs="宋体"/>
                <w:color w:val="auto"/>
                <w:sz w:val="24"/>
                <w:szCs w:val="24"/>
                <w:lang w:eastAsia="zh-CN"/>
              </w:rPr>
              <w:t>文件中的最高</w:t>
            </w:r>
            <w:r>
              <w:rPr>
                <w:rFonts w:hint="eastAsia" w:ascii="宋体" w:hAnsi="宋体" w:eastAsia="宋体" w:cs="宋体"/>
                <w:color w:val="auto"/>
                <w:sz w:val="24"/>
                <w:szCs w:val="24"/>
                <w:lang w:val="en-US" w:eastAsia="zh-CN"/>
              </w:rPr>
              <w:t>曝光</w:t>
            </w:r>
            <w:r>
              <w:rPr>
                <w:rFonts w:hint="eastAsia" w:ascii="宋体" w:hAnsi="宋体" w:eastAsia="宋体" w:cs="宋体"/>
                <w:color w:val="auto"/>
                <w:sz w:val="24"/>
                <w:szCs w:val="24"/>
                <w:lang w:eastAsia="zh-CN"/>
              </w:rPr>
              <w:t>量</w:t>
            </w:r>
            <w:r>
              <w:rPr>
                <w:rFonts w:ascii="宋体" w:hAnsi="宋体" w:eastAsia="宋体" w:cs="宋体"/>
                <w:color w:val="auto"/>
                <w:sz w:val="24"/>
                <w:szCs w:val="24"/>
              </w:rPr>
              <w:t>为基准</w:t>
            </w:r>
            <w:r>
              <w:rPr>
                <w:rFonts w:hint="eastAsia" w:ascii="宋体" w:hAnsi="宋体" w:eastAsia="宋体" w:cs="宋体"/>
                <w:color w:val="auto"/>
                <w:sz w:val="24"/>
                <w:szCs w:val="24"/>
                <w:lang w:eastAsia="zh-CN"/>
              </w:rPr>
              <w:t>数</w:t>
            </w:r>
            <w:r>
              <w:rPr>
                <w:rFonts w:ascii="宋体" w:hAnsi="宋体" w:eastAsia="宋体" w:cs="宋体"/>
                <w:color w:val="auto"/>
                <w:sz w:val="24"/>
                <w:szCs w:val="24"/>
              </w:rPr>
              <w:t>，其</w:t>
            </w:r>
            <w:r>
              <w:rPr>
                <w:rFonts w:hint="eastAsia" w:ascii="宋体" w:hAnsi="宋体" w:eastAsia="宋体" w:cs="宋体"/>
                <w:color w:val="auto"/>
                <w:sz w:val="24"/>
                <w:szCs w:val="24"/>
                <w:lang w:val="en-US" w:eastAsia="zh-CN"/>
              </w:rPr>
              <w:t>分值</w:t>
            </w:r>
            <w:r>
              <w:rPr>
                <w:rFonts w:ascii="宋体" w:hAnsi="宋体" w:eastAsia="宋体" w:cs="宋体"/>
                <w:color w:val="auto"/>
                <w:sz w:val="24"/>
                <w:szCs w:val="24"/>
              </w:rPr>
              <w:t>为满分。其他投标人的</w:t>
            </w:r>
            <w:r>
              <w:rPr>
                <w:rFonts w:hint="eastAsia" w:ascii="宋体" w:hAnsi="宋体" w:eastAsia="宋体" w:cs="宋体"/>
                <w:color w:val="auto"/>
                <w:sz w:val="24"/>
                <w:szCs w:val="24"/>
                <w:lang w:val="en-US" w:eastAsia="zh-CN"/>
              </w:rPr>
              <w:t>曝光</w:t>
            </w:r>
            <w:r>
              <w:rPr>
                <w:rFonts w:hint="eastAsia" w:ascii="宋体" w:hAnsi="宋体" w:eastAsia="宋体" w:cs="宋体"/>
                <w:color w:val="auto"/>
                <w:sz w:val="24"/>
                <w:szCs w:val="24"/>
                <w:lang w:eastAsia="zh-CN"/>
              </w:rPr>
              <w:t>量得</w:t>
            </w:r>
            <w:r>
              <w:rPr>
                <w:rFonts w:ascii="宋体" w:hAnsi="宋体" w:eastAsia="宋体" w:cs="宋体"/>
                <w:color w:val="auto"/>
                <w:sz w:val="24"/>
                <w:szCs w:val="24"/>
              </w:rPr>
              <w:t>分统一按照下列公式计算：得分=</w:t>
            </w:r>
            <w:r>
              <w:rPr>
                <w:rFonts w:hint="eastAsia" w:ascii="宋体" w:hAnsi="宋体" w:eastAsia="宋体" w:cs="宋体"/>
                <w:color w:val="auto"/>
                <w:sz w:val="24"/>
                <w:szCs w:val="24"/>
                <w:lang w:eastAsia="zh-CN"/>
              </w:rPr>
              <w:t>（</w:t>
            </w:r>
            <w:r>
              <w:rPr>
                <w:rFonts w:ascii="宋体" w:hAnsi="宋体" w:eastAsia="宋体" w:cs="宋体"/>
                <w:color w:val="auto"/>
                <w:sz w:val="24"/>
                <w:szCs w:val="24"/>
              </w:rPr>
              <w:t>其他投标人</w:t>
            </w:r>
            <w:r>
              <w:rPr>
                <w:rFonts w:hint="eastAsia" w:ascii="宋体" w:hAnsi="宋体" w:eastAsia="宋体" w:cs="宋体"/>
                <w:color w:val="auto"/>
                <w:sz w:val="24"/>
                <w:szCs w:val="24"/>
                <w:lang w:val="en-US" w:eastAsia="zh-CN"/>
              </w:rPr>
              <w:t>曝光</w:t>
            </w:r>
            <w:r>
              <w:rPr>
                <w:rFonts w:ascii="宋体" w:hAnsi="宋体" w:eastAsia="宋体" w:cs="宋体"/>
                <w:color w:val="auto"/>
                <w:sz w:val="24"/>
                <w:szCs w:val="24"/>
              </w:rPr>
              <w:t>量/基准数</w:t>
            </w:r>
            <w:r>
              <w:rPr>
                <w:rFonts w:hint="eastAsia" w:ascii="宋体" w:hAnsi="宋体" w:eastAsia="宋体" w:cs="宋体"/>
                <w:color w:val="auto"/>
                <w:sz w:val="24"/>
                <w:szCs w:val="24"/>
                <w:lang w:eastAsia="zh-CN"/>
              </w:rPr>
              <w:t>）</w:t>
            </w:r>
            <w:r>
              <w:rPr>
                <w:rFonts w:ascii="宋体" w:hAnsi="宋体" w:eastAsia="宋体" w:cs="宋体"/>
                <w:color w:val="auto"/>
                <w:sz w:val="24"/>
                <w:szCs w:val="24"/>
              </w:rPr>
              <w:t>×</w:t>
            </w:r>
            <w:r>
              <w:rPr>
                <w:rFonts w:hint="eastAsia" w:ascii="宋体" w:hAnsi="宋体" w:eastAsia="宋体" w:cs="宋体"/>
                <w:color w:val="auto"/>
                <w:sz w:val="24"/>
                <w:szCs w:val="24"/>
                <w:lang w:val="en-US" w:eastAsia="zh-CN"/>
              </w:rPr>
              <w:t>1</w:t>
            </w:r>
            <w:r>
              <w:rPr>
                <w:rFonts w:ascii="宋体" w:hAnsi="宋体" w:eastAsia="宋体" w:cs="宋体"/>
                <w:color w:val="auto"/>
                <w:sz w:val="24"/>
                <w:szCs w:val="24"/>
              </w:rPr>
              <w:t>0%×100（保留两位小数）</w:t>
            </w:r>
          </w:p>
        </w:tc>
        <w:tc>
          <w:tcPr>
            <w:tcW w:w="1354" w:type="dxa"/>
            <w:vAlign w:val="center"/>
          </w:tcPr>
          <w:p w14:paraId="0DF0960D">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10</w:t>
            </w:r>
          </w:p>
        </w:tc>
      </w:tr>
      <w:tr w14:paraId="2B53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Align w:val="center"/>
          </w:tcPr>
          <w:p w14:paraId="6F92FC1F">
            <w:pPr>
              <w:adjustRightInd w:val="0"/>
              <w:snapToGrid w:val="0"/>
              <w:jc w:val="center"/>
              <w:rPr>
                <w:rFonts w:hint="default" w:cs="宋体" w:asciiTheme="minorEastAsia" w:hAnsiTheme="minorEastAsia"/>
                <w:color w:val="auto"/>
                <w:kern w:val="0"/>
                <w:sz w:val="24"/>
                <w:szCs w:val="24"/>
                <w:lang w:val="en-US" w:eastAsia="zh-CN"/>
              </w:rPr>
            </w:pPr>
            <w:r>
              <w:rPr>
                <w:rFonts w:hint="eastAsia" w:cs="宋体" w:asciiTheme="minorEastAsia" w:hAnsiTheme="minorEastAsia"/>
                <w:color w:val="auto"/>
                <w:kern w:val="0"/>
                <w:sz w:val="24"/>
                <w:szCs w:val="24"/>
                <w:lang w:val="en-US" w:eastAsia="zh-CN"/>
              </w:rPr>
              <w:t>2.2.4</w:t>
            </w:r>
          </w:p>
        </w:tc>
        <w:tc>
          <w:tcPr>
            <w:tcW w:w="1907" w:type="dxa"/>
            <w:vAlign w:val="center"/>
          </w:tcPr>
          <w:p w14:paraId="3591C787">
            <w:pPr>
              <w:adjustRightInd w:val="0"/>
              <w:snapToGrid w:val="0"/>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报价评分标准</w:t>
            </w:r>
          </w:p>
        </w:tc>
        <w:tc>
          <w:tcPr>
            <w:tcW w:w="6086" w:type="dxa"/>
            <w:vAlign w:val="center"/>
          </w:tcPr>
          <w:p w14:paraId="78ACC874">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根据投标公司数量，将15分划分为与投标公司数量相同的几个区间分值，根据投标报价，由低到高降序打分（即报价越低的得分越高）。</w:t>
            </w:r>
          </w:p>
          <w:p w14:paraId="232AD0B8">
            <w:pPr>
              <w:numPr>
                <w:ilvl w:val="0"/>
                <w:numId w:val="0"/>
              </w:numPr>
              <w:adjustRightInd w:val="0"/>
              <w:snapToGrid w:val="0"/>
              <w:ind w:leftChars="0"/>
              <w:rPr>
                <w:rFonts w:hint="eastAsia" w:ascii="宋体" w:hAnsi="宋体" w:eastAsia="宋体" w:cs="宋体"/>
                <w:color w:val="auto"/>
                <w:sz w:val="24"/>
                <w:szCs w:val="24"/>
                <w:lang w:eastAsia="zh-CN"/>
              </w:rPr>
            </w:pPr>
            <w:r>
              <w:rPr>
                <w:rFonts w:hint="eastAsia" w:cs="宋体" w:asciiTheme="minorEastAsia" w:hAnsiTheme="minorEastAsia"/>
                <w:color w:val="auto"/>
                <w:sz w:val="24"/>
                <w:szCs w:val="24"/>
                <w:lang w:val="en-US" w:eastAsia="zh-CN"/>
              </w:rPr>
              <w:t>由审计监察部根据投标单位的方案提供控标价，投标单位对比控标价增减1%对应值加减2分。</w:t>
            </w:r>
          </w:p>
        </w:tc>
        <w:tc>
          <w:tcPr>
            <w:tcW w:w="1354" w:type="dxa"/>
            <w:vAlign w:val="center"/>
          </w:tcPr>
          <w:p w14:paraId="3FE8FF1B">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b/>
                <w:bCs/>
                <w:color w:val="auto"/>
                <w:sz w:val="24"/>
                <w:szCs w:val="24"/>
                <w:lang w:val="en-US" w:eastAsia="zh-CN"/>
              </w:rPr>
              <w:t>15</w:t>
            </w:r>
          </w:p>
        </w:tc>
      </w:tr>
    </w:tbl>
    <w:p w14:paraId="739DD5E4">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评标方法</w:t>
      </w:r>
    </w:p>
    <w:p w14:paraId="3093E893">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本次评标采用综合评分法。评标委员会对满足招标文件实质性要求的投标文件，按照本章规定的评分标准进行打分，并按得分由高到低顺序推荐中标候选人。</w:t>
      </w:r>
    </w:p>
    <w:p w14:paraId="78DFF153">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评标程序</w:t>
      </w:r>
    </w:p>
    <w:p w14:paraId="73DEB090">
      <w:pPr>
        <w:spacing w:line="360" w:lineRule="auto"/>
        <w:ind w:firstLine="424" w:firstLineChars="177"/>
        <w:rPr>
          <w:rFonts w:asciiTheme="minorEastAsia" w:hAnsiTheme="minorEastAsia"/>
          <w:b w:val="0"/>
          <w:bCs w:val="0"/>
          <w:color w:val="auto"/>
          <w:sz w:val="24"/>
          <w:szCs w:val="24"/>
        </w:rPr>
      </w:pPr>
      <w:r>
        <w:rPr>
          <w:rFonts w:hint="eastAsia" w:asciiTheme="minorEastAsia" w:hAnsiTheme="minorEastAsia"/>
          <w:b w:val="0"/>
          <w:bCs w:val="0"/>
          <w:color w:val="auto"/>
          <w:sz w:val="24"/>
          <w:szCs w:val="24"/>
        </w:rPr>
        <w:t>5.1 初步评审</w:t>
      </w:r>
    </w:p>
    <w:p w14:paraId="399D3261">
      <w:pPr>
        <w:snapToGrid w:val="0"/>
        <w:spacing w:line="360" w:lineRule="auto"/>
        <w:ind w:firstLine="424" w:firstLineChars="177"/>
        <w:rPr>
          <w:rFonts w:hint="eastAsia" w:asciiTheme="minorEastAsia" w:hAnsiTheme="minorEastAsia"/>
          <w:color w:val="auto"/>
          <w:sz w:val="24"/>
          <w:szCs w:val="24"/>
        </w:rPr>
      </w:pPr>
      <w:r>
        <w:rPr>
          <w:rFonts w:hint="eastAsia" w:asciiTheme="minorEastAsia" w:hAnsiTheme="minorEastAsia"/>
          <w:color w:val="auto"/>
          <w:sz w:val="24"/>
          <w:szCs w:val="24"/>
        </w:rPr>
        <w:t>5.1.1 评标委员会可以要求投标人提交第三章“投标人资格要求”规定的有关证明和证件的原件，以便核验。</w:t>
      </w:r>
    </w:p>
    <w:p w14:paraId="60DC522A">
      <w:pPr>
        <w:snapToGrid w:val="0"/>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lang w:val="en-US" w:eastAsia="zh-CN"/>
        </w:rPr>
        <w:t xml:space="preserve">5.1.2 </w:t>
      </w:r>
      <w:r>
        <w:rPr>
          <w:rFonts w:hint="eastAsia" w:asciiTheme="minorEastAsia" w:hAnsiTheme="minorEastAsia"/>
          <w:color w:val="auto"/>
          <w:sz w:val="24"/>
          <w:szCs w:val="24"/>
        </w:rPr>
        <w:t>评标委员会依据本章第2.1款的规定对投标文件进行初步评审。有一项不符合评审标准的，评标委员会应当否决其投标。</w:t>
      </w:r>
    </w:p>
    <w:p w14:paraId="6C62CA93">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5.2 详细评审</w:t>
      </w:r>
    </w:p>
    <w:p w14:paraId="4F2BF645">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5.2.1 评标委员会按本章第2.2款规定的量化因素和分值进行打分，并计算出综合评估得分。</w:t>
      </w:r>
    </w:p>
    <w:p w14:paraId="0CF91E57">
      <w:pPr>
        <w:pStyle w:val="19"/>
        <w:numPr>
          <w:ilvl w:val="0"/>
          <w:numId w:val="17"/>
        </w:numPr>
        <w:snapToGrid w:val="0"/>
        <w:spacing w:line="360" w:lineRule="auto"/>
        <w:ind w:firstLine="6" w:firstLineChars="0"/>
        <w:rPr>
          <w:rStyle w:val="24"/>
          <w:rFonts w:asciiTheme="minorEastAsia" w:hAnsiTheme="minorEastAsia"/>
          <w:color w:val="auto"/>
          <w:lang w:val="zh-CN"/>
        </w:rPr>
      </w:pPr>
      <w:r>
        <w:rPr>
          <w:rStyle w:val="24"/>
          <w:rFonts w:hint="eastAsia" w:asciiTheme="minorEastAsia" w:hAnsiTheme="minorEastAsia"/>
          <w:color w:val="auto"/>
          <w:lang w:val="zh-CN"/>
        </w:rPr>
        <w:t>按本章第2.2.2目规定的评审因素和分值对商务部分计算出得分A；</w:t>
      </w:r>
    </w:p>
    <w:p w14:paraId="494B89FA">
      <w:pPr>
        <w:pStyle w:val="19"/>
        <w:numPr>
          <w:ilvl w:val="0"/>
          <w:numId w:val="17"/>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按本章第2.2.3目规定的评审因素和分值对技术部分计算出得分B；</w:t>
      </w:r>
    </w:p>
    <w:p w14:paraId="41685E29">
      <w:pPr>
        <w:pStyle w:val="19"/>
        <w:numPr>
          <w:ilvl w:val="0"/>
          <w:numId w:val="17"/>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w:t>
      </w:r>
      <w:r>
        <w:rPr>
          <w:rStyle w:val="24"/>
          <w:rFonts w:hint="eastAsia" w:asciiTheme="minorEastAsia" w:hAnsiTheme="minorEastAsia"/>
          <w:color w:val="auto"/>
          <w:lang w:val="en-US" w:eastAsia="zh-CN"/>
        </w:rPr>
        <w:t>4</w:t>
      </w:r>
      <w:r>
        <w:rPr>
          <w:rStyle w:val="24"/>
          <w:rFonts w:hint="eastAsia" w:asciiTheme="minorEastAsia" w:hAnsiTheme="minorEastAsia"/>
          <w:color w:val="auto"/>
          <w:lang w:val="zh-CN"/>
        </w:rPr>
        <w:t>目规定的评审因素和分值对</w:t>
      </w:r>
      <w:r>
        <w:rPr>
          <w:rStyle w:val="24"/>
          <w:rFonts w:hint="eastAsia" w:asciiTheme="minorEastAsia" w:hAnsiTheme="minorEastAsia"/>
          <w:color w:val="auto"/>
          <w:lang w:val="en-US" w:eastAsia="zh-CN"/>
        </w:rPr>
        <w:t>投标报价</w:t>
      </w:r>
      <w:r>
        <w:rPr>
          <w:rStyle w:val="24"/>
          <w:rFonts w:hint="eastAsia" w:asciiTheme="minorEastAsia" w:hAnsiTheme="minorEastAsia"/>
          <w:color w:val="auto"/>
          <w:lang w:val="zh-CN"/>
        </w:rPr>
        <w:t>计算出得分</w:t>
      </w:r>
      <w:r>
        <w:rPr>
          <w:rStyle w:val="24"/>
          <w:rFonts w:hint="eastAsia" w:asciiTheme="minorEastAsia" w:hAnsiTheme="minorEastAsia"/>
          <w:color w:val="auto"/>
          <w:lang w:val="en-US" w:eastAsia="zh-CN"/>
        </w:rPr>
        <w:t>C；</w:t>
      </w:r>
    </w:p>
    <w:p w14:paraId="62C1193A">
      <w:pPr>
        <w:spacing w:line="360" w:lineRule="auto"/>
        <w:ind w:firstLine="424" w:firstLineChars="177"/>
        <w:jc w:val="left"/>
        <w:rPr>
          <w:rFonts w:asciiTheme="minorEastAsia" w:hAnsiTheme="minorEastAsia"/>
          <w:color w:val="auto"/>
          <w:sz w:val="24"/>
          <w:szCs w:val="24"/>
        </w:rPr>
      </w:pPr>
      <w:r>
        <w:rPr>
          <w:rFonts w:hint="eastAsia" w:asciiTheme="minorEastAsia" w:hAnsiTheme="minorEastAsia"/>
          <w:color w:val="auto"/>
          <w:sz w:val="24"/>
          <w:szCs w:val="24"/>
        </w:rPr>
        <w:t>5.2.2 评分分值计算保留小数点后两位，小数点后第三位“四舍五入”。</w:t>
      </w:r>
    </w:p>
    <w:p w14:paraId="4B45537F">
      <w:pPr>
        <w:spacing w:line="360" w:lineRule="auto"/>
        <w:ind w:firstLine="424" w:firstLineChars="177"/>
        <w:jc w:val="left"/>
        <w:rPr>
          <w:rFonts w:asciiTheme="minorEastAsia" w:hAnsiTheme="minorEastAsia"/>
          <w:color w:val="auto"/>
          <w:sz w:val="24"/>
          <w:szCs w:val="24"/>
        </w:rPr>
      </w:pPr>
      <w:r>
        <w:rPr>
          <w:rFonts w:hint="eastAsia" w:asciiTheme="minorEastAsia" w:hAnsiTheme="minorEastAsia"/>
          <w:color w:val="auto"/>
          <w:sz w:val="24"/>
          <w:szCs w:val="24"/>
        </w:rPr>
        <w:t>5.2.3 投标人得分=A+B</w:t>
      </w:r>
      <w:r>
        <w:rPr>
          <w:rFonts w:hint="eastAsia" w:asciiTheme="minorEastAsia" w:hAnsiTheme="minorEastAsia"/>
          <w:color w:val="auto"/>
          <w:sz w:val="24"/>
          <w:szCs w:val="24"/>
          <w:lang w:val="en-US" w:eastAsia="zh-CN"/>
        </w:rPr>
        <w:t>+C</w:t>
      </w:r>
      <w:r>
        <w:rPr>
          <w:rFonts w:hint="eastAsia" w:asciiTheme="minorEastAsia" w:hAnsiTheme="minorEastAsia"/>
          <w:color w:val="auto"/>
          <w:sz w:val="24"/>
          <w:szCs w:val="24"/>
        </w:rPr>
        <w:t>。</w:t>
      </w:r>
    </w:p>
    <w:p w14:paraId="467D90BA">
      <w:pPr>
        <w:spacing w:line="360" w:lineRule="auto"/>
        <w:ind w:firstLine="424" w:firstLineChars="177"/>
        <w:jc w:val="left"/>
        <w:rPr>
          <w:rFonts w:asciiTheme="minorEastAsia" w:hAnsiTheme="minorEastAsia"/>
          <w:color w:val="auto"/>
          <w:sz w:val="24"/>
          <w:szCs w:val="24"/>
        </w:rPr>
      </w:pPr>
      <w:r>
        <w:rPr>
          <w:rFonts w:hint="eastAsia" w:asciiTheme="minorEastAsia" w:hAnsiTheme="minorEastAsia"/>
          <w:color w:val="auto"/>
          <w:sz w:val="24"/>
          <w:szCs w:val="24"/>
        </w:rPr>
        <w:t>5.3 投标文件的澄清</w:t>
      </w:r>
    </w:p>
    <w:p w14:paraId="111EA3A3">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5.3.1 在评标过程中，评标委员会可以电话会议或书面形式要求投标人对投标文件中含义不明确、对同类问题表述不一致或者有明显文字和计算错误的内容</w:t>
      </w:r>
      <w:r>
        <w:rPr>
          <w:rFonts w:hint="eastAsia" w:asciiTheme="minorEastAsia" w:hAnsiTheme="minorEastAsia"/>
          <w:color w:val="auto"/>
          <w:sz w:val="24"/>
          <w:szCs w:val="24"/>
          <w:lang w:val="en-US" w:eastAsia="zh-CN"/>
        </w:rPr>
        <w:t>做</w:t>
      </w:r>
      <w:r>
        <w:rPr>
          <w:rFonts w:hint="eastAsia" w:asciiTheme="minorEastAsia" w:hAnsiTheme="minorEastAsia"/>
          <w:b w:val="0"/>
          <w:bCs w:val="0"/>
          <w:color w:val="auto"/>
          <w:sz w:val="24"/>
          <w:szCs w:val="24"/>
        </w:rPr>
        <w:t>必要</w:t>
      </w:r>
      <w:r>
        <w:rPr>
          <w:rFonts w:hint="eastAsia" w:asciiTheme="minorEastAsia" w:hAnsiTheme="minorEastAsia"/>
          <w:color w:val="auto"/>
          <w:sz w:val="24"/>
          <w:szCs w:val="24"/>
        </w:rPr>
        <w:t>的澄清、说明或补正。澄清、说明或补正应以书面方式进行。</w:t>
      </w:r>
    </w:p>
    <w:p w14:paraId="5E0299CB">
      <w:pPr>
        <w:spacing w:line="360" w:lineRule="auto"/>
        <w:ind w:firstLine="424" w:firstLineChars="177"/>
        <w:rPr>
          <w:rFonts w:asciiTheme="minorEastAsia" w:hAnsiTheme="minorEastAsia"/>
          <w:color w:val="auto"/>
          <w:sz w:val="24"/>
          <w:szCs w:val="24"/>
        </w:rPr>
      </w:pPr>
    </w:p>
    <w:p w14:paraId="109281C4">
      <w:pPr>
        <w:pStyle w:val="19"/>
        <w:widowControl/>
        <w:numPr>
          <w:ilvl w:val="0"/>
          <w:numId w:val="1"/>
        </w:numPr>
        <w:shd w:val="clear" w:color="auto" w:fill="FFFFFF"/>
        <w:spacing w:line="360" w:lineRule="auto"/>
        <w:ind w:firstLineChars="0"/>
        <w:jc w:val="left"/>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投标文件的递交</w:t>
      </w:r>
    </w:p>
    <w:p w14:paraId="585D4467">
      <w:pPr>
        <w:pStyle w:val="19"/>
        <w:numPr>
          <w:ilvl w:val="0"/>
          <w:numId w:val="18"/>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投标文件提交的截止时间为：</w:t>
      </w:r>
      <w:r>
        <w:rPr>
          <w:rFonts w:hint="eastAsia" w:asciiTheme="minorEastAsia" w:hAnsiTheme="minorEastAsia"/>
          <w:b/>
          <w:bCs/>
          <w:color w:val="auto"/>
          <w:sz w:val="24"/>
          <w:szCs w:val="24"/>
          <w:lang w:val="en-US" w:eastAsia="zh-CN"/>
        </w:rPr>
        <w:t>2025</w:t>
      </w:r>
      <w:r>
        <w:rPr>
          <w:rFonts w:hint="eastAsia" w:asciiTheme="minorEastAsia" w:hAnsiTheme="minorEastAsia"/>
          <w:b/>
          <w:bCs/>
          <w:color w:val="auto"/>
          <w:sz w:val="24"/>
          <w:szCs w:val="24"/>
        </w:rPr>
        <w:t>年</w:t>
      </w:r>
      <w:r>
        <w:rPr>
          <w:rFonts w:hint="eastAsia" w:asciiTheme="minorEastAsia" w:hAnsiTheme="minorEastAsia"/>
          <w:b/>
          <w:bCs/>
          <w:color w:val="auto"/>
          <w:sz w:val="24"/>
          <w:szCs w:val="24"/>
          <w:lang w:val="en-US" w:eastAsia="zh-CN"/>
        </w:rPr>
        <w:t>12月11</w:t>
      </w:r>
      <w:r>
        <w:rPr>
          <w:rFonts w:hint="eastAsia" w:asciiTheme="minorEastAsia" w:hAnsiTheme="minorEastAsia"/>
          <w:b/>
          <w:bCs/>
          <w:color w:val="auto"/>
          <w:sz w:val="24"/>
          <w:szCs w:val="24"/>
        </w:rPr>
        <w:t>日1</w:t>
      </w:r>
      <w:r>
        <w:rPr>
          <w:rFonts w:hint="eastAsia" w:asciiTheme="minorEastAsia" w:hAnsiTheme="minorEastAsia"/>
          <w:b/>
          <w:bCs/>
          <w:color w:val="auto"/>
          <w:sz w:val="24"/>
          <w:szCs w:val="24"/>
          <w:lang w:val="en-US" w:eastAsia="zh-CN"/>
        </w:rPr>
        <w:t>4</w:t>
      </w:r>
      <w:r>
        <w:rPr>
          <w:rFonts w:hint="eastAsia" w:asciiTheme="minorEastAsia" w:hAnsiTheme="minorEastAsia"/>
          <w:b/>
          <w:bCs/>
          <w:color w:val="auto"/>
          <w:sz w:val="24"/>
          <w:szCs w:val="24"/>
        </w:rPr>
        <w:t>:00</w:t>
      </w:r>
      <w:r>
        <w:rPr>
          <w:rFonts w:hint="eastAsia" w:asciiTheme="minorEastAsia" w:hAnsiTheme="minorEastAsia"/>
          <w:color w:val="auto"/>
          <w:sz w:val="24"/>
          <w:szCs w:val="24"/>
        </w:rPr>
        <w:t>，</w:t>
      </w:r>
      <w:r>
        <w:rPr>
          <w:rFonts w:hint="eastAsia" w:asciiTheme="minorEastAsia" w:hAnsiTheme="minorEastAsia"/>
          <w:color w:val="auto"/>
          <w:sz w:val="24"/>
          <w:szCs w:val="24"/>
        </w:rPr>
        <w:t>逾期则投标书无效</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提交到下方第3点的地址</w:t>
      </w:r>
      <w:r>
        <w:rPr>
          <w:rFonts w:hint="eastAsia" w:asciiTheme="minorEastAsia" w:hAnsiTheme="minorEastAsia"/>
          <w:color w:val="auto"/>
          <w:sz w:val="24"/>
          <w:szCs w:val="24"/>
        </w:rPr>
        <w:t>。</w:t>
      </w:r>
    </w:p>
    <w:p w14:paraId="323A6545">
      <w:pPr>
        <w:pStyle w:val="19"/>
        <w:numPr>
          <w:ilvl w:val="0"/>
          <w:numId w:val="18"/>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投标文件的组成：</w:t>
      </w:r>
    </w:p>
    <w:p w14:paraId="186E677B">
      <w:pPr>
        <w:pStyle w:val="19"/>
        <w:numPr>
          <w:ilvl w:val="0"/>
          <w:numId w:val="19"/>
        </w:numPr>
        <w:snapToGrid w:val="0"/>
        <w:spacing w:line="360" w:lineRule="auto"/>
        <w:ind w:firstLine="6" w:firstLineChars="0"/>
        <w:jc w:val="left"/>
        <w:rPr>
          <w:rStyle w:val="24"/>
          <w:rFonts w:asciiTheme="minorEastAsia" w:hAnsiTheme="minorEastAsia"/>
          <w:color w:val="auto"/>
          <w:lang w:val="zh-CN"/>
        </w:rPr>
      </w:pPr>
      <w:bookmarkStart w:id="12" w:name="_Toc389065128"/>
      <w:r>
        <w:rPr>
          <w:rStyle w:val="24"/>
          <w:rFonts w:hint="eastAsia" w:asciiTheme="minorEastAsia" w:hAnsiTheme="minorEastAsia"/>
          <w:color w:val="auto"/>
          <w:lang w:val="zh-CN"/>
        </w:rPr>
        <w:t xml:space="preserve">电子标书+纸质标书 </w:t>
      </w:r>
    </w:p>
    <w:p w14:paraId="79F59652">
      <w:pPr>
        <w:pStyle w:val="19"/>
        <w:numPr>
          <w:ilvl w:val="0"/>
          <w:numId w:val="19"/>
        </w:numPr>
        <w:snapToGrid w:val="0"/>
        <w:spacing w:line="360" w:lineRule="auto"/>
        <w:ind w:firstLine="6" w:firstLineChars="0"/>
        <w:jc w:val="left"/>
        <w:rPr>
          <w:rStyle w:val="24"/>
          <w:rFonts w:asciiTheme="minorEastAsia" w:hAnsiTheme="minorEastAsia"/>
          <w:color w:val="auto"/>
          <w:szCs w:val="24"/>
        </w:rPr>
      </w:pPr>
      <w:r>
        <w:rPr>
          <w:rStyle w:val="24"/>
          <w:rFonts w:hint="eastAsia" w:asciiTheme="minorEastAsia" w:hAnsiTheme="minorEastAsia"/>
          <w:color w:val="auto"/>
          <w:lang w:val="zh-CN"/>
        </w:rPr>
        <w:t>说明：纸质投标文件1份，</w:t>
      </w:r>
      <w:r>
        <w:rPr>
          <w:rStyle w:val="24"/>
          <w:rFonts w:hint="eastAsia" w:asciiTheme="minorEastAsia" w:hAnsiTheme="minorEastAsia"/>
          <w:b/>
          <w:bCs/>
          <w:color w:val="auto"/>
          <w:lang w:val="zh-CN"/>
        </w:rPr>
        <w:t>电子U盘1份</w:t>
      </w:r>
      <w:r>
        <w:rPr>
          <w:rStyle w:val="24"/>
          <w:rFonts w:hint="eastAsia" w:asciiTheme="minorEastAsia" w:hAnsiTheme="minorEastAsia"/>
          <w:color w:val="auto"/>
          <w:lang w:val="zh-CN"/>
        </w:rPr>
        <w:t>。（投标文件需密封并加盖公章，</w:t>
      </w:r>
      <w:r>
        <w:rPr>
          <w:rStyle w:val="24"/>
          <w:rFonts w:hint="eastAsia" w:asciiTheme="minorEastAsia" w:hAnsiTheme="minorEastAsia"/>
          <w:color w:val="auto"/>
          <w:lang w:val="en-US" w:eastAsia="zh-CN"/>
        </w:rPr>
        <w:t>U盘与纸质投标文件一起密封在文件袋内</w:t>
      </w:r>
      <w:r>
        <w:rPr>
          <w:rStyle w:val="24"/>
          <w:rFonts w:hint="eastAsia" w:asciiTheme="minorEastAsia" w:hAnsiTheme="minorEastAsia"/>
          <w:color w:val="auto"/>
          <w:lang w:val="zh-CN"/>
        </w:rPr>
        <w:t>）</w:t>
      </w:r>
    </w:p>
    <w:p w14:paraId="532C9AF8">
      <w:pPr>
        <w:pStyle w:val="19"/>
        <w:numPr>
          <w:ilvl w:val="0"/>
          <w:numId w:val="18"/>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招标机构名称：重庆冠达世纪游轮有限公司</w:t>
      </w:r>
    </w:p>
    <w:p w14:paraId="63F21A65">
      <w:pPr>
        <w:pStyle w:val="19"/>
        <w:spacing w:line="360" w:lineRule="auto"/>
        <w:ind w:left="426"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详细地址：</w:t>
      </w:r>
      <w:r>
        <w:rPr>
          <w:rFonts w:hint="eastAsia" w:asciiTheme="minorEastAsia" w:hAnsiTheme="minorEastAsia"/>
          <w:b/>
          <w:bCs/>
          <w:color w:val="auto"/>
          <w:sz w:val="24"/>
          <w:szCs w:val="24"/>
        </w:rPr>
        <w:t>重庆市江北区庆云路6号国金中心T5写字楼1</w:t>
      </w:r>
      <w:r>
        <w:rPr>
          <w:rFonts w:hint="eastAsia" w:asciiTheme="minorEastAsia" w:hAnsiTheme="minorEastAsia"/>
          <w:b/>
          <w:bCs/>
          <w:color w:val="auto"/>
          <w:sz w:val="24"/>
          <w:szCs w:val="24"/>
          <w:lang w:val="en-US" w:eastAsia="zh-CN"/>
        </w:rPr>
        <w:t>7</w:t>
      </w:r>
      <w:r>
        <w:rPr>
          <w:rFonts w:hint="eastAsia" w:asciiTheme="minorEastAsia" w:hAnsiTheme="minorEastAsia"/>
          <w:b/>
          <w:bCs/>
          <w:color w:val="auto"/>
          <w:sz w:val="24"/>
          <w:szCs w:val="24"/>
        </w:rPr>
        <w:t>层</w:t>
      </w:r>
    </w:p>
    <w:p w14:paraId="6ABAF28C">
      <w:pPr>
        <w:pStyle w:val="19"/>
        <w:spacing w:line="360" w:lineRule="auto"/>
        <w:ind w:left="426" w:right="-143" w:rightChars="-68" w:firstLine="0" w:firstLineChars="0"/>
        <w:rPr>
          <w:rFonts w:hint="eastAsia" w:asciiTheme="minorEastAsia" w:hAnsiTheme="minorEastAsia" w:eastAsiaTheme="minorEastAsia"/>
          <w:color w:val="auto"/>
          <w:sz w:val="24"/>
          <w:szCs w:val="24"/>
          <w:lang w:eastAsia="zh-CN"/>
        </w:rPr>
      </w:pPr>
      <w:r>
        <w:rPr>
          <w:rFonts w:hint="eastAsia" w:asciiTheme="minorEastAsia" w:hAnsiTheme="minorEastAsia"/>
          <w:color w:val="auto"/>
          <w:sz w:val="24"/>
          <w:szCs w:val="24"/>
        </w:rPr>
        <w:t>联 系 人：</w:t>
      </w:r>
      <w:r>
        <w:rPr>
          <w:rFonts w:hint="eastAsia" w:asciiTheme="minorEastAsia" w:hAnsiTheme="minorEastAsia"/>
          <w:b/>
          <w:bCs/>
          <w:color w:val="auto"/>
          <w:sz w:val="24"/>
          <w:szCs w:val="24"/>
          <w:lang w:val="en-US" w:eastAsia="zh-CN"/>
        </w:rPr>
        <w:t>李老师</w:t>
      </w:r>
    </w:p>
    <w:p w14:paraId="6F59C16D">
      <w:pPr>
        <w:pStyle w:val="19"/>
        <w:spacing w:line="360" w:lineRule="auto"/>
        <w:ind w:left="426" w:right="-143" w:rightChars="-68" w:firstLine="0" w:firstLineChars="0"/>
        <w:rPr>
          <w:rFonts w:hint="eastAsia" w:asciiTheme="minorEastAsia" w:hAnsiTheme="minorEastAsia"/>
          <w:color w:val="auto"/>
          <w:sz w:val="24"/>
          <w:szCs w:val="24"/>
        </w:rPr>
      </w:pPr>
      <w:r>
        <w:rPr>
          <w:rFonts w:asciiTheme="minorEastAsia" w:hAnsiTheme="minorEastAsia"/>
          <w:color w:val="auto"/>
          <w:sz w:val="24"/>
          <w:szCs w:val="24"/>
        </w:rPr>
        <w:t>电</w:t>
      </w:r>
      <w:r>
        <w:rPr>
          <w:rFonts w:hint="eastAsia" w:asciiTheme="minorEastAsia" w:hAnsiTheme="minorEastAsia"/>
          <w:color w:val="auto"/>
          <w:sz w:val="24"/>
          <w:szCs w:val="24"/>
        </w:rPr>
        <w:t xml:space="preserve">    </w:t>
      </w:r>
      <w:r>
        <w:rPr>
          <w:rFonts w:asciiTheme="minorEastAsia" w:hAnsiTheme="minorEastAsia"/>
          <w:color w:val="auto"/>
          <w:sz w:val="24"/>
          <w:szCs w:val="24"/>
        </w:rPr>
        <w:t>话：</w:t>
      </w:r>
      <w:r>
        <w:rPr>
          <w:rFonts w:ascii="宋体" w:hAnsi="宋体" w:eastAsia="宋体" w:cs="宋体"/>
          <w:b/>
          <w:bCs/>
          <w:color w:val="auto"/>
          <w:sz w:val="24"/>
          <w:szCs w:val="24"/>
        </w:rPr>
        <w:t>13983857537</w:t>
      </w:r>
    </w:p>
    <w:bookmarkEnd w:id="12"/>
    <w:p w14:paraId="3B21C42F">
      <w:pPr>
        <w:pStyle w:val="19"/>
        <w:numPr>
          <w:ilvl w:val="0"/>
          <w:numId w:val="18"/>
        </w:numPr>
        <w:spacing w:line="360" w:lineRule="auto"/>
        <w:ind w:left="426" w:right="-143" w:rightChars="-68" w:hanging="426" w:firstLineChars="0"/>
        <w:rPr>
          <w:rFonts w:hint="eastAsia" w:asciiTheme="minorEastAsia" w:hAnsiTheme="minorEastAsia"/>
          <w:color w:val="auto"/>
          <w:sz w:val="24"/>
          <w:szCs w:val="24"/>
        </w:rPr>
      </w:pPr>
      <w:r>
        <w:rPr>
          <w:rFonts w:hint="eastAsia" w:asciiTheme="minorEastAsia" w:hAnsiTheme="minorEastAsia"/>
          <w:color w:val="auto"/>
          <w:sz w:val="24"/>
          <w:szCs w:val="24"/>
        </w:rPr>
        <w:t>项目咨询：</w:t>
      </w:r>
    </w:p>
    <w:p w14:paraId="2A1F35EA">
      <w:pPr>
        <w:pStyle w:val="19"/>
        <w:spacing w:line="360" w:lineRule="auto"/>
        <w:ind w:left="426" w:right="-143" w:rightChars="-68" w:firstLine="0" w:firstLineChars="0"/>
        <w:rPr>
          <w:rFonts w:hint="default" w:asciiTheme="minorEastAsia" w:hAnsiTheme="minorEastAsia" w:eastAsiaTheme="minorEastAsia"/>
          <w:color w:val="auto"/>
          <w:sz w:val="24"/>
          <w:szCs w:val="24"/>
          <w:lang w:val="en-US" w:eastAsia="zh-CN"/>
        </w:rPr>
      </w:pPr>
      <w:r>
        <w:rPr>
          <w:rFonts w:hint="eastAsia" w:asciiTheme="minorEastAsia" w:hAnsiTheme="minorEastAsia"/>
          <w:color w:val="auto"/>
          <w:sz w:val="24"/>
          <w:szCs w:val="24"/>
        </w:rPr>
        <w:t>联系人：</w:t>
      </w:r>
      <w:r>
        <w:rPr>
          <w:rFonts w:hint="eastAsia" w:asciiTheme="minorEastAsia" w:hAnsiTheme="minorEastAsia"/>
          <w:b/>
          <w:bCs/>
          <w:color w:val="auto"/>
          <w:sz w:val="24"/>
          <w:szCs w:val="24"/>
          <w:lang w:val="en-US" w:eastAsia="zh-CN"/>
        </w:rPr>
        <w:t>杨女士</w:t>
      </w:r>
    </w:p>
    <w:p w14:paraId="38CE23EA">
      <w:pPr>
        <w:pStyle w:val="19"/>
        <w:spacing w:line="360" w:lineRule="auto"/>
        <w:ind w:left="426" w:right="-143" w:rightChars="-68" w:firstLine="0" w:firstLineChars="0"/>
        <w:rPr>
          <w:rFonts w:hint="default" w:asciiTheme="minorEastAsia" w:hAnsiTheme="minorEastAsia" w:eastAsiaTheme="minorEastAsia"/>
          <w:b/>
          <w:bCs/>
          <w:color w:val="auto"/>
          <w:sz w:val="24"/>
          <w:szCs w:val="24"/>
          <w:lang w:val="en-US" w:eastAsia="zh-CN"/>
        </w:rPr>
      </w:pPr>
      <w:r>
        <w:rPr>
          <w:rFonts w:asciiTheme="minorEastAsia" w:hAnsiTheme="minorEastAsia"/>
          <w:color w:val="auto"/>
          <w:sz w:val="24"/>
          <w:szCs w:val="24"/>
        </w:rPr>
        <w:t>电</w:t>
      </w:r>
      <w:r>
        <w:rPr>
          <w:rFonts w:hint="eastAsia" w:asciiTheme="minorEastAsia" w:hAnsiTheme="minorEastAsia"/>
          <w:color w:val="auto"/>
          <w:sz w:val="24"/>
          <w:szCs w:val="24"/>
        </w:rPr>
        <w:t xml:space="preserve">  </w:t>
      </w:r>
      <w:r>
        <w:rPr>
          <w:rFonts w:asciiTheme="minorEastAsia" w:hAnsiTheme="minorEastAsia"/>
          <w:color w:val="auto"/>
          <w:sz w:val="24"/>
          <w:szCs w:val="24"/>
        </w:rPr>
        <w:t>话：</w:t>
      </w:r>
      <w:r>
        <w:rPr>
          <w:rFonts w:ascii="宋体" w:hAnsi="宋体" w:eastAsia="宋体" w:cs="宋体"/>
          <w:color w:val="auto"/>
          <w:sz w:val="24"/>
          <w:szCs w:val="24"/>
        </w:rPr>
        <w:t>13983177636</w:t>
      </w:r>
      <w:r>
        <w:rPr>
          <w:rFonts w:hint="eastAsia" w:asciiTheme="minorEastAsia" w:hAnsiTheme="minorEastAsia"/>
          <w:b/>
          <w:bCs/>
          <w:color w:val="auto"/>
          <w:sz w:val="24"/>
          <w:szCs w:val="24"/>
          <w:lang w:val="en-US" w:eastAsia="zh-CN"/>
        </w:rPr>
        <w:t>（微信同号）</w:t>
      </w:r>
    </w:p>
    <w:p w14:paraId="05A710A6">
      <w:pPr>
        <w:pStyle w:val="19"/>
        <w:numPr>
          <w:ilvl w:val="0"/>
          <w:numId w:val="18"/>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开标时间：</w:t>
      </w:r>
      <w:r>
        <w:rPr>
          <w:rFonts w:hint="eastAsia" w:asciiTheme="minorEastAsia" w:hAnsiTheme="minorEastAsia"/>
          <w:b/>
          <w:bCs/>
          <w:color w:val="auto"/>
          <w:sz w:val="24"/>
          <w:szCs w:val="24"/>
        </w:rPr>
        <w:t>202</w:t>
      </w:r>
      <w:r>
        <w:rPr>
          <w:rFonts w:hint="eastAsia" w:asciiTheme="minorEastAsia" w:hAnsiTheme="minorEastAsia"/>
          <w:b/>
          <w:bCs/>
          <w:color w:val="auto"/>
          <w:sz w:val="24"/>
          <w:szCs w:val="24"/>
          <w:lang w:val="en-US" w:eastAsia="zh-CN"/>
        </w:rPr>
        <w:t>5</w:t>
      </w:r>
      <w:r>
        <w:rPr>
          <w:rFonts w:hint="eastAsia" w:asciiTheme="minorEastAsia" w:hAnsiTheme="minorEastAsia"/>
          <w:b/>
          <w:bCs/>
          <w:color w:val="auto"/>
          <w:sz w:val="24"/>
          <w:szCs w:val="24"/>
        </w:rPr>
        <w:t>年</w:t>
      </w:r>
      <w:r>
        <w:rPr>
          <w:rFonts w:hint="eastAsia" w:asciiTheme="minorEastAsia" w:hAnsiTheme="minorEastAsia"/>
          <w:b/>
          <w:bCs/>
          <w:color w:val="auto"/>
          <w:sz w:val="24"/>
          <w:szCs w:val="24"/>
          <w:lang w:val="en-US" w:eastAsia="zh-CN"/>
        </w:rPr>
        <w:t>12</w:t>
      </w:r>
      <w:r>
        <w:rPr>
          <w:rFonts w:hint="eastAsia" w:asciiTheme="minorEastAsia" w:hAnsiTheme="minorEastAsia"/>
          <w:b/>
          <w:bCs/>
          <w:color w:val="auto"/>
          <w:sz w:val="24"/>
          <w:szCs w:val="24"/>
        </w:rPr>
        <w:t>月</w:t>
      </w:r>
      <w:r>
        <w:rPr>
          <w:rFonts w:hint="eastAsia" w:asciiTheme="minorEastAsia" w:hAnsiTheme="minorEastAsia"/>
          <w:b/>
          <w:bCs/>
          <w:color w:val="auto"/>
          <w:sz w:val="24"/>
          <w:szCs w:val="24"/>
          <w:lang w:val="en-US" w:eastAsia="zh-CN"/>
        </w:rPr>
        <w:t>11</w:t>
      </w:r>
      <w:r>
        <w:rPr>
          <w:rFonts w:hint="eastAsia" w:asciiTheme="minorEastAsia" w:hAnsiTheme="minorEastAsia"/>
          <w:b/>
          <w:bCs/>
          <w:color w:val="auto"/>
          <w:sz w:val="24"/>
          <w:szCs w:val="24"/>
        </w:rPr>
        <w:t>日</w:t>
      </w:r>
      <w:r>
        <w:rPr>
          <w:rFonts w:hint="eastAsia" w:asciiTheme="minorEastAsia" w:hAnsiTheme="minorEastAsia"/>
          <w:b/>
          <w:bCs/>
          <w:color w:val="auto"/>
          <w:sz w:val="24"/>
          <w:szCs w:val="24"/>
          <w:lang w:val="en-US" w:eastAsia="zh-CN"/>
        </w:rPr>
        <w:t>15:00</w:t>
      </w:r>
      <w:r>
        <w:rPr>
          <w:rFonts w:hint="eastAsia" w:asciiTheme="minorEastAsia" w:hAnsiTheme="minorEastAsia"/>
          <w:b/>
          <w:bCs/>
          <w:color w:val="auto"/>
          <w:sz w:val="24"/>
          <w:szCs w:val="24"/>
        </w:rPr>
        <w:t>，</w:t>
      </w:r>
      <w:r>
        <w:rPr>
          <w:rFonts w:hint="eastAsia" w:asciiTheme="minorEastAsia" w:hAnsiTheme="minorEastAsia"/>
          <w:color w:val="auto"/>
          <w:sz w:val="24"/>
          <w:szCs w:val="24"/>
          <w:lang w:eastAsia="zh-CN"/>
        </w:rPr>
        <w:t>如</w:t>
      </w:r>
      <w:r>
        <w:rPr>
          <w:rFonts w:hint="eastAsia" w:asciiTheme="minorEastAsia" w:hAnsiTheme="minorEastAsia"/>
          <w:color w:val="auto"/>
          <w:sz w:val="24"/>
          <w:szCs w:val="24"/>
        </w:rPr>
        <w:t>需投标方讲标、议标，具体时间另行通知。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Mono CJK JP Bold">
    <w:altName w:val="Arial"/>
    <w:panose1 w:val="00000000000000000000"/>
    <w:charset w:val="00"/>
    <w:family w:val="swiss"/>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1D630"/>
    <w:multiLevelType w:val="singleLevel"/>
    <w:tmpl w:val="85D1D630"/>
    <w:lvl w:ilvl="0" w:tentative="0">
      <w:start w:val="1"/>
      <w:numFmt w:val="upperLetter"/>
      <w:lvlText w:val="%1."/>
      <w:lvlJc w:val="left"/>
      <w:pPr>
        <w:ind w:left="425" w:hanging="425"/>
      </w:pPr>
      <w:rPr>
        <w:rFonts w:hint="default"/>
      </w:rPr>
    </w:lvl>
  </w:abstractNum>
  <w:abstractNum w:abstractNumId="1">
    <w:nsid w:val="91EEABD9"/>
    <w:multiLevelType w:val="singleLevel"/>
    <w:tmpl w:val="91EEABD9"/>
    <w:lvl w:ilvl="0" w:tentative="0">
      <w:start w:val="1"/>
      <w:numFmt w:val="upperLetter"/>
      <w:lvlText w:val="%1."/>
      <w:lvlJc w:val="left"/>
      <w:pPr>
        <w:ind w:left="425" w:hanging="425"/>
      </w:pPr>
      <w:rPr>
        <w:rFonts w:hint="default"/>
        <w:color w:val="auto"/>
      </w:rPr>
    </w:lvl>
  </w:abstractNum>
  <w:abstractNum w:abstractNumId="2">
    <w:nsid w:val="B31A765D"/>
    <w:multiLevelType w:val="singleLevel"/>
    <w:tmpl w:val="B31A765D"/>
    <w:lvl w:ilvl="0" w:tentative="0">
      <w:start w:val="1"/>
      <w:numFmt w:val="upperLetter"/>
      <w:lvlText w:val="%1."/>
      <w:lvlJc w:val="left"/>
      <w:pPr>
        <w:ind w:left="425" w:hanging="425"/>
      </w:pPr>
      <w:rPr>
        <w:rFonts w:hint="default"/>
      </w:rPr>
    </w:lvl>
  </w:abstractNum>
  <w:abstractNum w:abstractNumId="3">
    <w:nsid w:val="BB991B16"/>
    <w:multiLevelType w:val="singleLevel"/>
    <w:tmpl w:val="BB991B16"/>
    <w:lvl w:ilvl="0" w:tentative="0">
      <w:start w:val="1"/>
      <w:numFmt w:val="upperLetter"/>
      <w:lvlText w:val="%1."/>
      <w:lvlJc w:val="left"/>
      <w:pPr>
        <w:ind w:left="425" w:hanging="425"/>
      </w:pPr>
      <w:rPr>
        <w:rFonts w:hint="default"/>
      </w:rPr>
    </w:lvl>
  </w:abstractNum>
  <w:abstractNum w:abstractNumId="4">
    <w:nsid w:val="C4F33CC7"/>
    <w:multiLevelType w:val="singleLevel"/>
    <w:tmpl w:val="C4F33CC7"/>
    <w:lvl w:ilvl="0" w:tentative="0">
      <w:start w:val="1"/>
      <w:numFmt w:val="decimal"/>
      <w:suff w:val="nothing"/>
      <w:lvlText w:val="%1、"/>
      <w:lvlJc w:val="left"/>
    </w:lvl>
  </w:abstractNum>
  <w:abstractNum w:abstractNumId="5">
    <w:nsid w:val="C930FDE8"/>
    <w:multiLevelType w:val="singleLevel"/>
    <w:tmpl w:val="C930FDE8"/>
    <w:lvl w:ilvl="0" w:tentative="0">
      <w:start w:val="1"/>
      <w:numFmt w:val="decimal"/>
      <w:suff w:val="nothing"/>
      <w:lvlText w:val="（%1）"/>
      <w:lvlJc w:val="left"/>
    </w:lvl>
  </w:abstractNum>
  <w:abstractNum w:abstractNumId="6">
    <w:nsid w:val="EFF4D58E"/>
    <w:multiLevelType w:val="multilevel"/>
    <w:tmpl w:val="EFF4D5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97C4CC0"/>
    <w:multiLevelType w:val="multilevel"/>
    <w:tmpl w:val="197C4CC0"/>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266CFF"/>
    <w:multiLevelType w:val="multilevel"/>
    <w:tmpl w:val="1A266CFF"/>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CF36DA"/>
    <w:multiLevelType w:val="multilevel"/>
    <w:tmpl w:val="21CF36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031C466"/>
    <w:multiLevelType w:val="singleLevel"/>
    <w:tmpl w:val="4031C466"/>
    <w:lvl w:ilvl="0" w:tentative="0">
      <w:start w:val="1"/>
      <w:numFmt w:val="decimal"/>
      <w:suff w:val="nothing"/>
      <w:lvlText w:val="（%1）"/>
      <w:lvlJc w:val="left"/>
      <w:rPr>
        <w:rFonts w:hint="default"/>
        <w:b/>
        <w:bCs/>
      </w:rPr>
    </w:lvl>
  </w:abstractNum>
  <w:abstractNum w:abstractNumId="11">
    <w:nsid w:val="406E0F55"/>
    <w:multiLevelType w:val="multilevel"/>
    <w:tmpl w:val="406E0F5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0733ED8"/>
    <w:multiLevelType w:val="multilevel"/>
    <w:tmpl w:val="40733ED8"/>
    <w:lvl w:ilvl="0" w:tentative="0">
      <w:start w:val="1"/>
      <w:numFmt w:val="chineseCountingThousand"/>
      <w:lvlText w:val="%1、"/>
      <w:lvlJc w:val="left"/>
      <w:pPr>
        <w:ind w:left="420" w:hanging="420"/>
      </w:pPr>
      <w:rPr>
        <w:sz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8936DE9"/>
    <w:multiLevelType w:val="multilevel"/>
    <w:tmpl w:val="48936D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4545CBD"/>
    <w:multiLevelType w:val="multilevel"/>
    <w:tmpl w:val="54545CB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59693691"/>
    <w:multiLevelType w:val="singleLevel"/>
    <w:tmpl w:val="59693691"/>
    <w:lvl w:ilvl="0" w:tentative="0">
      <w:start w:val="1"/>
      <w:numFmt w:val="upperLetter"/>
      <w:lvlText w:val="%1."/>
      <w:lvlJc w:val="left"/>
      <w:pPr>
        <w:ind w:left="425" w:hanging="425"/>
      </w:pPr>
      <w:rPr>
        <w:rFonts w:hint="default"/>
      </w:rPr>
    </w:lvl>
  </w:abstractNum>
  <w:abstractNum w:abstractNumId="16">
    <w:nsid w:val="5A4252C2"/>
    <w:multiLevelType w:val="multilevel"/>
    <w:tmpl w:val="5A4252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72C4C59"/>
    <w:multiLevelType w:val="multilevel"/>
    <w:tmpl w:val="672C4C59"/>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6E592B54"/>
    <w:multiLevelType w:val="multilevel"/>
    <w:tmpl w:val="6E592B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2"/>
  </w:num>
  <w:num w:numId="2">
    <w:abstractNumId w:val="4"/>
  </w:num>
  <w:num w:numId="3">
    <w:abstractNumId w:val="17"/>
  </w:num>
  <w:num w:numId="4">
    <w:abstractNumId w:val="18"/>
  </w:num>
  <w:num w:numId="5">
    <w:abstractNumId w:val="7"/>
  </w:num>
  <w:num w:numId="6">
    <w:abstractNumId w:val="9"/>
  </w:num>
  <w:num w:numId="7">
    <w:abstractNumId w:val="6"/>
  </w:num>
  <w:num w:numId="8">
    <w:abstractNumId w:val="11"/>
  </w:num>
  <w:num w:numId="9">
    <w:abstractNumId w:val="14"/>
  </w:num>
  <w:num w:numId="10">
    <w:abstractNumId w:val="10"/>
  </w:num>
  <w:num w:numId="11">
    <w:abstractNumId w:val="5"/>
  </w:num>
  <w:num w:numId="12">
    <w:abstractNumId w:val="0"/>
  </w:num>
  <w:num w:numId="13">
    <w:abstractNumId w:val="2"/>
  </w:num>
  <w:num w:numId="14">
    <w:abstractNumId w:val="15"/>
  </w:num>
  <w:num w:numId="15">
    <w:abstractNumId w:val="3"/>
  </w:num>
  <w:num w:numId="16">
    <w:abstractNumId w:val="1"/>
  </w:num>
  <w:num w:numId="17">
    <w:abstractNumId w:val="13"/>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jYTdmMjk3Y2VlMjZjMjJjOTYyMTc2ODI3YWU2OTAifQ=="/>
  </w:docVars>
  <w:rsids>
    <w:rsidRoot w:val="0052473F"/>
    <w:rsid w:val="0000591D"/>
    <w:rsid w:val="00005C8B"/>
    <w:rsid w:val="0004469D"/>
    <w:rsid w:val="00045E9C"/>
    <w:rsid w:val="00047D87"/>
    <w:rsid w:val="00064304"/>
    <w:rsid w:val="000645B7"/>
    <w:rsid w:val="00065C33"/>
    <w:rsid w:val="0007301D"/>
    <w:rsid w:val="00077304"/>
    <w:rsid w:val="00080291"/>
    <w:rsid w:val="000A1700"/>
    <w:rsid w:val="000A283E"/>
    <w:rsid w:val="000A61BC"/>
    <w:rsid w:val="000B6006"/>
    <w:rsid w:val="000D2B28"/>
    <w:rsid w:val="000D52AD"/>
    <w:rsid w:val="000E4685"/>
    <w:rsid w:val="000F251F"/>
    <w:rsid w:val="000F7255"/>
    <w:rsid w:val="00106169"/>
    <w:rsid w:val="00113F79"/>
    <w:rsid w:val="0013418F"/>
    <w:rsid w:val="00140FBA"/>
    <w:rsid w:val="001531C4"/>
    <w:rsid w:val="00157EAE"/>
    <w:rsid w:val="00160EF8"/>
    <w:rsid w:val="0016741C"/>
    <w:rsid w:val="00182FDE"/>
    <w:rsid w:val="00192B35"/>
    <w:rsid w:val="001A7326"/>
    <w:rsid w:val="001C1DA8"/>
    <w:rsid w:val="001C7730"/>
    <w:rsid w:val="001C7B1F"/>
    <w:rsid w:val="001E0D7D"/>
    <w:rsid w:val="00202177"/>
    <w:rsid w:val="0020615A"/>
    <w:rsid w:val="0020709E"/>
    <w:rsid w:val="00215F4A"/>
    <w:rsid w:val="002177FC"/>
    <w:rsid w:val="00221EA2"/>
    <w:rsid w:val="00222197"/>
    <w:rsid w:val="002301EC"/>
    <w:rsid w:val="00235E25"/>
    <w:rsid w:val="00252656"/>
    <w:rsid w:val="00255FFA"/>
    <w:rsid w:val="0026612B"/>
    <w:rsid w:val="00283F4F"/>
    <w:rsid w:val="002A3942"/>
    <w:rsid w:val="002C205D"/>
    <w:rsid w:val="002C386C"/>
    <w:rsid w:val="002C61F7"/>
    <w:rsid w:val="002C7667"/>
    <w:rsid w:val="002D1FB6"/>
    <w:rsid w:val="002D4D54"/>
    <w:rsid w:val="002E01C1"/>
    <w:rsid w:val="002E1E28"/>
    <w:rsid w:val="002E5F9B"/>
    <w:rsid w:val="002E6413"/>
    <w:rsid w:val="002F35CE"/>
    <w:rsid w:val="00300230"/>
    <w:rsid w:val="00311092"/>
    <w:rsid w:val="0032408D"/>
    <w:rsid w:val="003320CA"/>
    <w:rsid w:val="0033371F"/>
    <w:rsid w:val="00364961"/>
    <w:rsid w:val="00391FE4"/>
    <w:rsid w:val="003A1AD2"/>
    <w:rsid w:val="003A7993"/>
    <w:rsid w:val="003B52D7"/>
    <w:rsid w:val="003C537D"/>
    <w:rsid w:val="003C7980"/>
    <w:rsid w:val="003D3D95"/>
    <w:rsid w:val="003D7E79"/>
    <w:rsid w:val="003F667C"/>
    <w:rsid w:val="00405839"/>
    <w:rsid w:val="004064F6"/>
    <w:rsid w:val="00407154"/>
    <w:rsid w:val="004232FA"/>
    <w:rsid w:val="00446FD9"/>
    <w:rsid w:val="00447F68"/>
    <w:rsid w:val="004519AA"/>
    <w:rsid w:val="00455740"/>
    <w:rsid w:val="00456DB1"/>
    <w:rsid w:val="004659B7"/>
    <w:rsid w:val="004719CC"/>
    <w:rsid w:val="0047359C"/>
    <w:rsid w:val="00481674"/>
    <w:rsid w:val="00486E11"/>
    <w:rsid w:val="004A2611"/>
    <w:rsid w:val="004A601E"/>
    <w:rsid w:val="004E10D6"/>
    <w:rsid w:val="004E404C"/>
    <w:rsid w:val="004F7579"/>
    <w:rsid w:val="00504191"/>
    <w:rsid w:val="00506CE2"/>
    <w:rsid w:val="0052473F"/>
    <w:rsid w:val="00534B0C"/>
    <w:rsid w:val="00534B23"/>
    <w:rsid w:val="0055390C"/>
    <w:rsid w:val="00571C36"/>
    <w:rsid w:val="005A0C0C"/>
    <w:rsid w:val="005A143C"/>
    <w:rsid w:val="005A2737"/>
    <w:rsid w:val="005A333C"/>
    <w:rsid w:val="005A3543"/>
    <w:rsid w:val="005A720C"/>
    <w:rsid w:val="005C2385"/>
    <w:rsid w:val="005C3DF7"/>
    <w:rsid w:val="005D0C01"/>
    <w:rsid w:val="005D3799"/>
    <w:rsid w:val="005E23CA"/>
    <w:rsid w:val="005E5786"/>
    <w:rsid w:val="006001BA"/>
    <w:rsid w:val="00613D3A"/>
    <w:rsid w:val="00626518"/>
    <w:rsid w:val="006326BD"/>
    <w:rsid w:val="00674A60"/>
    <w:rsid w:val="00680F41"/>
    <w:rsid w:val="00697507"/>
    <w:rsid w:val="00697C62"/>
    <w:rsid w:val="006B31C3"/>
    <w:rsid w:val="006B5A5A"/>
    <w:rsid w:val="006C64B8"/>
    <w:rsid w:val="006D4F95"/>
    <w:rsid w:val="006E34C1"/>
    <w:rsid w:val="006F022D"/>
    <w:rsid w:val="0070121A"/>
    <w:rsid w:val="007058B6"/>
    <w:rsid w:val="007165A3"/>
    <w:rsid w:val="00721D83"/>
    <w:rsid w:val="007349FC"/>
    <w:rsid w:val="00740F99"/>
    <w:rsid w:val="00756692"/>
    <w:rsid w:val="00760C1E"/>
    <w:rsid w:val="00766AE5"/>
    <w:rsid w:val="00766CE2"/>
    <w:rsid w:val="00767A45"/>
    <w:rsid w:val="00775610"/>
    <w:rsid w:val="00781467"/>
    <w:rsid w:val="00792DBD"/>
    <w:rsid w:val="007A5709"/>
    <w:rsid w:val="007B6BDD"/>
    <w:rsid w:val="007D38A7"/>
    <w:rsid w:val="007E1697"/>
    <w:rsid w:val="00800FC7"/>
    <w:rsid w:val="00810CF4"/>
    <w:rsid w:val="00836D2C"/>
    <w:rsid w:val="008752FC"/>
    <w:rsid w:val="00877C3F"/>
    <w:rsid w:val="008841AF"/>
    <w:rsid w:val="008861C2"/>
    <w:rsid w:val="00886991"/>
    <w:rsid w:val="00891596"/>
    <w:rsid w:val="008927FC"/>
    <w:rsid w:val="008933DC"/>
    <w:rsid w:val="008B7213"/>
    <w:rsid w:val="008D3DAA"/>
    <w:rsid w:val="008D71DB"/>
    <w:rsid w:val="009327F6"/>
    <w:rsid w:val="009369B9"/>
    <w:rsid w:val="00942D83"/>
    <w:rsid w:val="00965387"/>
    <w:rsid w:val="009674A8"/>
    <w:rsid w:val="00972E86"/>
    <w:rsid w:val="00972F39"/>
    <w:rsid w:val="009761A3"/>
    <w:rsid w:val="00984ABC"/>
    <w:rsid w:val="009A0658"/>
    <w:rsid w:val="009C1F30"/>
    <w:rsid w:val="009E26D4"/>
    <w:rsid w:val="009F0408"/>
    <w:rsid w:val="00A01DE2"/>
    <w:rsid w:val="00A3160B"/>
    <w:rsid w:val="00A36717"/>
    <w:rsid w:val="00A40323"/>
    <w:rsid w:val="00A61AAC"/>
    <w:rsid w:val="00A70F1B"/>
    <w:rsid w:val="00A90B36"/>
    <w:rsid w:val="00A9367E"/>
    <w:rsid w:val="00AA0798"/>
    <w:rsid w:val="00AA243B"/>
    <w:rsid w:val="00AD5E26"/>
    <w:rsid w:val="00AD6020"/>
    <w:rsid w:val="00AF745A"/>
    <w:rsid w:val="00B00BD6"/>
    <w:rsid w:val="00B30B0B"/>
    <w:rsid w:val="00B31C78"/>
    <w:rsid w:val="00B40AB5"/>
    <w:rsid w:val="00B51A73"/>
    <w:rsid w:val="00B609BA"/>
    <w:rsid w:val="00B64168"/>
    <w:rsid w:val="00B84AC9"/>
    <w:rsid w:val="00B869FC"/>
    <w:rsid w:val="00B87704"/>
    <w:rsid w:val="00B87A8B"/>
    <w:rsid w:val="00BA2F96"/>
    <w:rsid w:val="00BA4932"/>
    <w:rsid w:val="00BB0F40"/>
    <w:rsid w:val="00BB65BE"/>
    <w:rsid w:val="00BE49F2"/>
    <w:rsid w:val="00BE7D2B"/>
    <w:rsid w:val="00BF1B0A"/>
    <w:rsid w:val="00BF34BF"/>
    <w:rsid w:val="00BF472F"/>
    <w:rsid w:val="00C327BB"/>
    <w:rsid w:val="00C342A4"/>
    <w:rsid w:val="00C37B33"/>
    <w:rsid w:val="00C5265C"/>
    <w:rsid w:val="00C55835"/>
    <w:rsid w:val="00C64E31"/>
    <w:rsid w:val="00C82F04"/>
    <w:rsid w:val="00C939CC"/>
    <w:rsid w:val="00CB634D"/>
    <w:rsid w:val="00CD4BEE"/>
    <w:rsid w:val="00CF216F"/>
    <w:rsid w:val="00CF24B7"/>
    <w:rsid w:val="00CF7CCC"/>
    <w:rsid w:val="00D00DEF"/>
    <w:rsid w:val="00D057D7"/>
    <w:rsid w:val="00D06445"/>
    <w:rsid w:val="00D2259B"/>
    <w:rsid w:val="00D245E5"/>
    <w:rsid w:val="00D24FF0"/>
    <w:rsid w:val="00D30E7D"/>
    <w:rsid w:val="00D40546"/>
    <w:rsid w:val="00D450F5"/>
    <w:rsid w:val="00D5084E"/>
    <w:rsid w:val="00D552BA"/>
    <w:rsid w:val="00D64E38"/>
    <w:rsid w:val="00DA5AE8"/>
    <w:rsid w:val="00DC0141"/>
    <w:rsid w:val="00DD79E9"/>
    <w:rsid w:val="00DE0545"/>
    <w:rsid w:val="00DE4E37"/>
    <w:rsid w:val="00DF1F22"/>
    <w:rsid w:val="00E25DE4"/>
    <w:rsid w:val="00E46D25"/>
    <w:rsid w:val="00E65452"/>
    <w:rsid w:val="00E675BD"/>
    <w:rsid w:val="00E775DB"/>
    <w:rsid w:val="00EB1A91"/>
    <w:rsid w:val="00EB240F"/>
    <w:rsid w:val="00EB3863"/>
    <w:rsid w:val="00EB4203"/>
    <w:rsid w:val="00EC1F67"/>
    <w:rsid w:val="00EE6044"/>
    <w:rsid w:val="00EF5D10"/>
    <w:rsid w:val="00F036A9"/>
    <w:rsid w:val="00F11586"/>
    <w:rsid w:val="00F15B98"/>
    <w:rsid w:val="00F36F4A"/>
    <w:rsid w:val="00F54A45"/>
    <w:rsid w:val="00F556B6"/>
    <w:rsid w:val="00F75432"/>
    <w:rsid w:val="00F76D07"/>
    <w:rsid w:val="00FA00A3"/>
    <w:rsid w:val="00FA33F5"/>
    <w:rsid w:val="00FB510D"/>
    <w:rsid w:val="00FC62EB"/>
    <w:rsid w:val="00FC64A2"/>
    <w:rsid w:val="010103B6"/>
    <w:rsid w:val="013C690E"/>
    <w:rsid w:val="01437C9C"/>
    <w:rsid w:val="01453A14"/>
    <w:rsid w:val="01541EA9"/>
    <w:rsid w:val="015A40C0"/>
    <w:rsid w:val="01687703"/>
    <w:rsid w:val="017936BE"/>
    <w:rsid w:val="01822573"/>
    <w:rsid w:val="01AA7D1B"/>
    <w:rsid w:val="01B12E58"/>
    <w:rsid w:val="01B6221C"/>
    <w:rsid w:val="021F6013"/>
    <w:rsid w:val="021F7DC1"/>
    <w:rsid w:val="022950E4"/>
    <w:rsid w:val="024C0DD3"/>
    <w:rsid w:val="024D7C7E"/>
    <w:rsid w:val="02897931"/>
    <w:rsid w:val="029C3B08"/>
    <w:rsid w:val="02B81FC4"/>
    <w:rsid w:val="02BE582C"/>
    <w:rsid w:val="02BF4C6F"/>
    <w:rsid w:val="02DB7FCF"/>
    <w:rsid w:val="02F474A0"/>
    <w:rsid w:val="03125B78"/>
    <w:rsid w:val="03870314"/>
    <w:rsid w:val="038A3960"/>
    <w:rsid w:val="03BD7C09"/>
    <w:rsid w:val="03BE360A"/>
    <w:rsid w:val="03D43093"/>
    <w:rsid w:val="03D91E8E"/>
    <w:rsid w:val="03F901D3"/>
    <w:rsid w:val="041D47D5"/>
    <w:rsid w:val="04245B63"/>
    <w:rsid w:val="04293CFB"/>
    <w:rsid w:val="0450534A"/>
    <w:rsid w:val="04714B20"/>
    <w:rsid w:val="047572A8"/>
    <w:rsid w:val="04846602"/>
    <w:rsid w:val="049031F8"/>
    <w:rsid w:val="04B62533"/>
    <w:rsid w:val="04CE3D21"/>
    <w:rsid w:val="04D330E5"/>
    <w:rsid w:val="04F33787"/>
    <w:rsid w:val="04FA68C4"/>
    <w:rsid w:val="05131B0A"/>
    <w:rsid w:val="055B3806"/>
    <w:rsid w:val="0560706F"/>
    <w:rsid w:val="0573545D"/>
    <w:rsid w:val="05735A24"/>
    <w:rsid w:val="058C7E64"/>
    <w:rsid w:val="058F525E"/>
    <w:rsid w:val="05AA02EA"/>
    <w:rsid w:val="05D9472B"/>
    <w:rsid w:val="05DC62C0"/>
    <w:rsid w:val="05E97064"/>
    <w:rsid w:val="05EA06E6"/>
    <w:rsid w:val="061614DB"/>
    <w:rsid w:val="063B7194"/>
    <w:rsid w:val="06597DDC"/>
    <w:rsid w:val="06700194"/>
    <w:rsid w:val="06734B80"/>
    <w:rsid w:val="067526A6"/>
    <w:rsid w:val="06826AEB"/>
    <w:rsid w:val="06BC02D5"/>
    <w:rsid w:val="06E25862"/>
    <w:rsid w:val="06E635A4"/>
    <w:rsid w:val="07660241"/>
    <w:rsid w:val="07A174CB"/>
    <w:rsid w:val="07AA2823"/>
    <w:rsid w:val="08397703"/>
    <w:rsid w:val="0842480A"/>
    <w:rsid w:val="0869448C"/>
    <w:rsid w:val="08A2174C"/>
    <w:rsid w:val="08B17BE1"/>
    <w:rsid w:val="08BB280E"/>
    <w:rsid w:val="08C94F2B"/>
    <w:rsid w:val="08E41D65"/>
    <w:rsid w:val="09137F54"/>
    <w:rsid w:val="093525C0"/>
    <w:rsid w:val="094E3682"/>
    <w:rsid w:val="095567BF"/>
    <w:rsid w:val="095C7B4D"/>
    <w:rsid w:val="096E7880"/>
    <w:rsid w:val="09B01C47"/>
    <w:rsid w:val="09B96D4E"/>
    <w:rsid w:val="09D516AE"/>
    <w:rsid w:val="0A1026E6"/>
    <w:rsid w:val="0A4D7496"/>
    <w:rsid w:val="0A4E56B3"/>
    <w:rsid w:val="0A8729A8"/>
    <w:rsid w:val="0A975809"/>
    <w:rsid w:val="0AAE262A"/>
    <w:rsid w:val="0AC97464"/>
    <w:rsid w:val="0AE918B4"/>
    <w:rsid w:val="0B5B264A"/>
    <w:rsid w:val="0BC30085"/>
    <w:rsid w:val="0BDC249A"/>
    <w:rsid w:val="0BF73B5D"/>
    <w:rsid w:val="0BFE313E"/>
    <w:rsid w:val="0C4424A1"/>
    <w:rsid w:val="0C550884"/>
    <w:rsid w:val="0C8569A1"/>
    <w:rsid w:val="0C90792D"/>
    <w:rsid w:val="0C9B098C"/>
    <w:rsid w:val="0CA041F5"/>
    <w:rsid w:val="0CA050B2"/>
    <w:rsid w:val="0CAD246E"/>
    <w:rsid w:val="0CCE2B10"/>
    <w:rsid w:val="0CD93263"/>
    <w:rsid w:val="0CDF2F6F"/>
    <w:rsid w:val="0CE81173"/>
    <w:rsid w:val="0CF06F2A"/>
    <w:rsid w:val="0D0E115E"/>
    <w:rsid w:val="0D554FDF"/>
    <w:rsid w:val="0D676F26"/>
    <w:rsid w:val="0D913B3D"/>
    <w:rsid w:val="0D933D59"/>
    <w:rsid w:val="0DAE2941"/>
    <w:rsid w:val="0DCB704F"/>
    <w:rsid w:val="0DD51C7C"/>
    <w:rsid w:val="0DEB4458"/>
    <w:rsid w:val="0E1F739B"/>
    <w:rsid w:val="0E2844A2"/>
    <w:rsid w:val="0E3177FA"/>
    <w:rsid w:val="0E567261"/>
    <w:rsid w:val="0E9D6C3E"/>
    <w:rsid w:val="0EAF4BC3"/>
    <w:rsid w:val="0EB775D4"/>
    <w:rsid w:val="0EC817E1"/>
    <w:rsid w:val="0F032819"/>
    <w:rsid w:val="0F1756A9"/>
    <w:rsid w:val="0F2A424A"/>
    <w:rsid w:val="0F474DFC"/>
    <w:rsid w:val="0F7F6343"/>
    <w:rsid w:val="0FCB77DB"/>
    <w:rsid w:val="100B7BD7"/>
    <w:rsid w:val="102B2027"/>
    <w:rsid w:val="104D4694"/>
    <w:rsid w:val="105772C0"/>
    <w:rsid w:val="106D0716"/>
    <w:rsid w:val="10710382"/>
    <w:rsid w:val="10983FAB"/>
    <w:rsid w:val="10B4201D"/>
    <w:rsid w:val="10E072B6"/>
    <w:rsid w:val="10EE19D3"/>
    <w:rsid w:val="10F20D97"/>
    <w:rsid w:val="112076B2"/>
    <w:rsid w:val="114535BD"/>
    <w:rsid w:val="11567578"/>
    <w:rsid w:val="1182036D"/>
    <w:rsid w:val="11DB1545"/>
    <w:rsid w:val="11E3705D"/>
    <w:rsid w:val="1230601B"/>
    <w:rsid w:val="123F1DBA"/>
    <w:rsid w:val="124E024F"/>
    <w:rsid w:val="127B54E8"/>
    <w:rsid w:val="128679E9"/>
    <w:rsid w:val="12A32349"/>
    <w:rsid w:val="12B97DBE"/>
    <w:rsid w:val="12CB18A0"/>
    <w:rsid w:val="12D312F0"/>
    <w:rsid w:val="12EA441C"/>
    <w:rsid w:val="130A73A9"/>
    <w:rsid w:val="130C6140"/>
    <w:rsid w:val="13453400"/>
    <w:rsid w:val="134A310C"/>
    <w:rsid w:val="13545D39"/>
    <w:rsid w:val="13636A0D"/>
    <w:rsid w:val="136F153F"/>
    <w:rsid w:val="13B4669E"/>
    <w:rsid w:val="13E21FE9"/>
    <w:rsid w:val="13FD377C"/>
    <w:rsid w:val="141379A2"/>
    <w:rsid w:val="14151024"/>
    <w:rsid w:val="14261483"/>
    <w:rsid w:val="14294AD0"/>
    <w:rsid w:val="144321D0"/>
    <w:rsid w:val="146D1167"/>
    <w:rsid w:val="146F2E2A"/>
    <w:rsid w:val="14A81E98"/>
    <w:rsid w:val="14B46A8F"/>
    <w:rsid w:val="14FE5F5C"/>
    <w:rsid w:val="153D1CEC"/>
    <w:rsid w:val="153E45AB"/>
    <w:rsid w:val="1546345F"/>
    <w:rsid w:val="157B135B"/>
    <w:rsid w:val="158C17BA"/>
    <w:rsid w:val="15AF7257"/>
    <w:rsid w:val="15FC6940"/>
    <w:rsid w:val="16493207"/>
    <w:rsid w:val="16612C47"/>
    <w:rsid w:val="16900E36"/>
    <w:rsid w:val="16960BCB"/>
    <w:rsid w:val="17143815"/>
    <w:rsid w:val="173D7210"/>
    <w:rsid w:val="177E5132"/>
    <w:rsid w:val="178F10EE"/>
    <w:rsid w:val="17A728DB"/>
    <w:rsid w:val="17B9260F"/>
    <w:rsid w:val="17D15BAA"/>
    <w:rsid w:val="17FF6273"/>
    <w:rsid w:val="180513B0"/>
    <w:rsid w:val="18243F2C"/>
    <w:rsid w:val="182713C4"/>
    <w:rsid w:val="182C4B8E"/>
    <w:rsid w:val="183B3024"/>
    <w:rsid w:val="18534811"/>
    <w:rsid w:val="18BC5F12"/>
    <w:rsid w:val="18BD1C8B"/>
    <w:rsid w:val="18D86AC4"/>
    <w:rsid w:val="18DC0363"/>
    <w:rsid w:val="18E67F66"/>
    <w:rsid w:val="18F338FE"/>
    <w:rsid w:val="193A32DB"/>
    <w:rsid w:val="193B777F"/>
    <w:rsid w:val="1945415A"/>
    <w:rsid w:val="19677EEA"/>
    <w:rsid w:val="19B04073"/>
    <w:rsid w:val="19B66E06"/>
    <w:rsid w:val="19BE5CBA"/>
    <w:rsid w:val="19F636A6"/>
    <w:rsid w:val="1A197394"/>
    <w:rsid w:val="1A4A57A0"/>
    <w:rsid w:val="1A55661F"/>
    <w:rsid w:val="1A6C7FFA"/>
    <w:rsid w:val="1A7F369B"/>
    <w:rsid w:val="1A935399"/>
    <w:rsid w:val="1A954C6D"/>
    <w:rsid w:val="1A986467"/>
    <w:rsid w:val="1A9C4844"/>
    <w:rsid w:val="1AA603CB"/>
    <w:rsid w:val="1AB53561"/>
    <w:rsid w:val="1ACA2CE4"/>
    <w:rsid w:val="1ACD08AB"/>
    <w:rsid w:val="1AF220BF"/>
    <w:rsid w:val="1B1C538E"/>
    <w:rsid w:val="1B1C713C"/>
    <w:rsid w:val="1B261D69"/>
    <w:rsid w:val="1B3E5305"/>
    <w:rsid w:val="1B5543FC"/>
    <w:rsid w:val="1B682381"/>
    <w:rsid w:val="1B821EE0"/>
    <w:rsid w:val="1B830F69"/>
    <w:rsid w:val="1B966EEF"/>
    <w:rsid w:val="1BB67591"/>
    <w:rsid w:val="1BBB0703"/>
    <w:rsid w:val="1C6A3ED7"/>
    <w:rsid w:val="1D1E4848"/>
    <w:rsid w:val="1D2624F4"/>
    <w:rsid w:val="1D4B1F5B"/>
    <w:rsid w:val="1D725739"/>
    <w:rsid w:val="1D7636A5"/>
    <w:rsid w:val="1DA04055"/>
    <w:rsid w:val="1DA358F3"/>
    <w:rsid w:val="1DB47B00"/>
    <w:rsid w:val="1DF47EFC"/>
    <w:rsid w:val="1E1B7B7F"/>
    <w:rsid w:val="1E2702D2"/>
    <w:rsid w:val="1E3B5065"/>
    <w:rsid w:val="1E5D3CF4"/>
    <w:rsid w:val="1E601A36"/>
    <w:rsid w:val="1E71779F"/>
    <w:rsid w:val="1E7A2AF8"/>
    <w:rsid w:val="1E7E1EBC"/>
    <w:rsid w:val="1E7E3C6A"/>
    <w:rsid w:val="1E97124E"/>
    <w:rsid w:val="1EB8776E"/>
    <w:rsid w:val="1EDD203A"/>
    <w:rsid w:val="1EE67479"/>
    <w:rsid w:val="1EF02DBA"/>
    <w:rsid w:val="1F0A0750"/>
    <w:rsid w:val="1F1B770B"/>
    <w:rsid w:val="1F2667DB"/>
    <w:rsid w:val="1F2B50D6"/>
    <w:rsid w:val="1F933745"/>
    <w:rsid w:val="1FA70660"/>
    <w:rsid w:val="1FA83694"/>
    <w:rsid w:val="1FAA1D56"/>
    <w:rsid w:val="1FB04410"/>
    <w:rsid w:val="1FC3227C"/>
    <w:rsid w:val="1FC97167"/>
    <w:rsid w:val="1FF70178"/>
    <w:rsid w:val="201C7BDE"/>
    <w:rsid w:val="202A5E57"/>
    <w:rsid w:val="204038CD"/>
    <w:rsid w:val="2040567B"/>
    <w:rsid w:val="20625416"/>
    <w:rsid w:val="207215AC"/>
    <w:rsid w:val="20962624"/>
    <w:rsid w:val="20A83220"/>
    <w:rsid w:val="20B85E8A"/>
    <w:rsid w:val="20CA763A"/>
    <w:rsid w:val="20D3029D"/>
    <w:rsid w:val="20D364EF"/>
    <w:rsid w:val="20D64231"/>
    <w:rsid w:val="21302C80"/>
    <w:rsid w:val="214E3DC8"/>
    <w:rsid w:val="215D04AF"/>
    <w:rsid w:val="2164183D"/>
    <w:rsid w:val="216B497A"/>
    <w:rsid w:val="217B78A2"/>
    <w:rsid w:val="21821CC3"/>
    <w:rsid w:val="219F0AC7"/>
    <w:rsid w:val="21B207FA"/>
    <w:rsid w:val="21C61BB0"/>
    <w:rsid w:val="21F229A5"/>
    <w:rsid w:val="21FC1A76"/>
    <w:rsid w:val="21FC7CC7"/>
    <w:rsid w:val="21FE759C"/>
    <w:rsid w:val="22116E69"/>
    <w:rsid w:val="226F0499"/>
    <w:rsid w:val="22C02AA3"/>
    <w:rsid w:val="22FF35CB"/>
    <w:rsid w:val="23531B69"/>
    <w:rsid w:val="237044C9"/>
    <w:rsid w:val="23812232"/>
    <w:rsid w:val="23AA76D2"/>
    <w:rsid w:val="23AE0B4E"/>
    <w:rsid w:val="23BE3486"/>
    <w:rsid w:val="23FE3883"/>
    <w:rsid w:val="24125580"/>
    <w:rsid w:val="24212536"/>
    <w:rsid w:val="24213A15"/>
    <w:rsid w:val="24262DDA"/>
    <w:rsid w:val="2443573A"/>
    <w:rsid w:val="244F207A"/>
    <w:rsid w:val="2479115B"/>
    <w:rsid w:val="247A57B8"/>
    <w:rsid w:val="24AB4930"/>
    <w:rsid w:val="24B71C84"/>
    <w:rsid w:val="24FA6740"/>
    <w:rsid w:val="252C2672"/>
    <w:rsid w:val="253C1456"/>
    <w:rsid w:val="256B21D8"/>
    <w:rsid w:val="257D111F"/>
    <w:rsid w:val="25973F8F"/>
    <w:rsid w:val="25D7082F"/>
    <w:rsid w:val="25E22D30"/>
    <w:rsid w:val="25F34750"/>
    <w:rsid w:val="25FC2044"/>
    <w:rsid w:val="26192BF6"/>
    <w:rsid w:val="261E020C"/>
    <w:rsid w:val="263317DE"/>
    <w:rsid w:val="263C424A"/>
    <w:rsid w:val="264A7253"/>
    <w:rsid w:val="266D4CF0"/>
    <w:rsid w:val="26B71E3C"/>
    <w:rsid w:val="27267A0F"/>
    <w:rsid w:val="272F01F7"/>
    <w:rsid w:val="273B3040"/>
    <w:rsid w:val="27421CD9"/>
    <w:rsid w:val="27822A1D"/>
    <w:rsid w:val="27A40BE5"/>
    <w:rsid w:val="27C941A8"/>
    <w:rsid w:val="27FB4B05"/>
    <w:rsid w:val="27FD02F5"/>
    <w:rsid w:val="2808007A"/>
    <w:rsid w:val="28235FAE"/>
    <w:rsid w:val="283A6E54"/>
    <w:rsid w:val="284D4DD9"/>
    <w:rsid w:val="28706D19"/>
    <w:rsid w:val="288325A9"/>
    <w:rsid w:val="28924EE2"/>
    <w:rsid w:val="295108F9"/>
    <w:rsid w:val="2964062C"/>
    <w:rsid w:val="299913C4"/>
    <w:rsid w:val="29AC1FD3"/>
    <w:rsid w:val="29D15596"/>
    <w:rsid w:val="29E03A2B"/>
    <w:rsid w:val="29E754BD"/>
    <w:rsid w:val="2A481CFC"/>
    <w:rsid w:val="2A77438F"/>
    <w:rsid w:val="2A8940C2"/>
    <w:rsid w:val="2A9E7B6E"/>
    <w:rsid w:val="2AA12FFD"/>
    <w:rsid w:val="2AB27175"/>
    <w:rsid w:val="2ACF41CB"/>
    <w:rsid w:val="2B3E7A7B"/>
    <w:rsid w:val="2B512E32"/>
    <w:rsid w:val="2B5B06FC"/>
    <w:rsid w:val="2B6F150A"/>
    <w:rsid w:val="2B856638"/>
    <w:rsid w:val="2B8D373E"/>
    <w:rsid w:val="2B942D1F"/>
    <w:rsid w:val="2BAA2542"/>
    <w:rsid w:val="2BBF4A75"/>
    <w:rsid w:val="2BD31A99"/>
    <w:rsid w:val="2BDF043E"/>
    <w:rsid w:val="2BE23A8A"/>
    <w:rsid w:val="2C0E0D23"/>
    <w:rsid w:val="2C106849"/>
    <w:rsid w:val="2C3E2262"/>
    <w:rsid w:val="2C9F6FA5"/>
    <w:rsid w:val="2CCB09C2"/>
    <w:rsid w:val="2CD24BB1"/>
    <w:rsid w:val="2CEB299B"/>
    <w:rsid w:val="2D145EC5"/>
    <w:rsid w:val="2D1759B5"/>
    <w:rsid w:val="2D216834"/>
    <w:rsid w:val="2D2500D2"/>
    <w:rsid w:val="2D483DC1"/>
    <w:rsid w:val="2D662499"/>
    <w:rsid w:val="2DC0604D"/>
    <w:rsid w:val="2DC773DC"/>
    <w:rsid w:val="2DDE64D3"/>
    <w:rsid w:val="2DE24215"/>
    <w:rsid w:val="2E584F16"/>
    <w:rsid w:val="2E8B21B7"/>
    <w:rsid w:val="2E9C2616"/>
    <w:rsid w:val="2EB060C2"/>
    <w:rsid w:val="2EB3170E"/>
    <w:rsid w:val="2EBF6305"/>
    <w:rsid w:val="2F285C58"/>
    <w:rsid w:val="2F326AD7"/>
    <w:rsid w:val="2F3A598B"/>
    <w:rsid w:val="2F6649D2"/>
    <w:rsid w:val="2F6A6270"/>
    <w:rsid w:val="2F745341"/>
    <w:rsid w:val="2F9257C7"/>
    <w:rsid w:val="2FAF1ED5"/>
    <w:rsid w:val="2FB67708"/>
    <w:rsid w:val="2FBE480E"/>
    <w:rsid w:val="2FF43D8C"/>
    <w:rsid w:val="3009345D"/>
    <w:rsid w:val="303B19BB"/>
    <w:rsid w:val="30450A8C"/>
    <w:rsid w:val="305005A2"/>
    <w:rsid w:val="305667F5"/>
    <w:rsid w:val="305F1B4D"/>
    <w:rsid w:val="3077201F"/>
    <w:rsid w:val="307D6477"/>
    <w:rsid w:val="30E402A4"/>
    <w:rsid w:val="31295CB7"/>
    <w:rsid w:val="31322DBE"/>
    <w:rsid w:val="31717D8A"/>
    <w:rsid w:val="318850D4"/>
    <w:rsid w:val="31AF2660"/>
    <w:rsid w:val="31CF2D03"/>
    <w:rsid w:val="31D67BED"/>
    <w:rsid w:val="31E06CBE"/>
    <w:rsid w:val="3296737C"/>
    <w:rsid w:val="32BC3287"/>
    <w:rsid w:val="33016EEC"/>
    <w:rsid w:val="33044C2E"/>
    <w:rsid w:val="332C1A8F"/>
    <w:rsid w:val="33380434"/>
    <w:rsid w:val="334E5EA9"/>
    <w:rsid w:val="33525999"/>
    <w:rsid w:val="336E3E55"/>
    <w:rsid w:val="33792F26"/>
    <w:rsid w:val="33D75E9F"/>
    <w:rsid w:val="34000F51"/>
    <w:rsid w:val="34655258"/>
    <w:rsid w:val="346A286F"/>
    <w:rsid w:val="34CA77B1"/>
    <w:rsid w:val="34CB5A03"/>
    <w:rsid w:val="34D80120"/>
    <w:rsid w:val="34FD36E3"/>
    <w:rsid w:val="350C3926"/>
    <w:rsid w:val="351F7AFD"/>
    <w:rsid w:val="35374E47"/>
    <w:rsid w:val="353F0D76"/>
    <w:rsid w:val="355552CD"/>
    <w:rsid w:val="35611EC4"/>
    <w:rsid w:val="3575771D"/>
    <w:rsid w:val="35EE3784"/>
    <w:rsid w:val="361C403D"/>
    <w:rsid w:val="363870C8"/>
    <w:rsid w:val="366E2AEA"/>
    <w:rsid w:val="366F23BE"/>
    <w:rsid w:val="368A544A"/>
    <w:rsid w:val="36BB5604"/>
    <w:rsid w:val="36C344B8"/>
    <w:rsid w:val="36F54FB9"/>
    <w:rsid w:val="36F823B4"/>
    <w:rsid w:val="36FD5C1C"/>
    <w:rsid w:val="370A20E7"/>
    <w:rsid w:val="370B658B"/>
    <w:rsid w:val="370F76FD"/>
    <w:rsid w:val="371116C7"/>
    <w:rsid w:val="372C02AF"/>
    <w:rsid w:val="375E78C9"/>
    <w:rsid w:val="3793375C"/>
    <w:rsid w:val="37A20571"/>
    <w:rsid w:val="37C329C2"/>
    <w:rsid w:val="37CB7AC8"/>
    <w:rsid w:val="37D56B99"/>
    <w:rsid w:val="37DE5A4E"/>
    <w:rsid w:val="37E172EC"/>
    <w:rsid w:val="38156F95"/>
    <w:rsid w:val="38211DDE"/>
    <w:rsid w:val="38606463"/>
    <w:rsid w:val="386A3DB4"/>
    <w:rsid w:val="38A65E3F"/>
    <w:rsid w:val="38C22C79"/>
    <w:rsid w:val="38DC5D5B"/>
    <w:rsid w:val="38E54BBA"/>
    <w:rsid w:val="391536F1"/>
    <w:rsid w:val="39225E0E"/>
    <w:rsid w:val="3923361E"/>
    <w:rsid w:val="392C0A3B"/>
    <w:rsid w:val="39846181"/>
    <w:rsid w:val="39C40C73"/>
    <w:rsid w:val="39D013C6"/>
    <w:rsid w:val="3A1514CF"/>
    <w:rsid w:val="3A30455A"/>
    <w:rsid w:val="3A326D59"/>
    <w:rsid w:val="3A543DA5"/>
    <w:rsid w:val="3AAC3BE1"/>
    <w:rsid w:val="3AEF3ACE"/>
    <w:rsid w:val="3B0F5F1E"/>
    <w:rsid w:val="3B2319C9"/>
    <w:rsid w:val="3B716BD9"/>
    <w:rsid w:val="3BA42B0A"/>
    <w:rsid w:val="3BDA477E"/>
    <w:rsid w:val="3BDF7FE6"/>
    <w:rsid w:val="3BF515B8"/>
    <w:rsid w:val="3C134AD0"/>
    <w:rsid w:val="3C1732DC"/>
    <w:rsid w:val="3C2105FF"/>
    <w:rsid w:val="3C236125"/>
    <w:rsid w:val="3C29300F"/>
    <w:rsid w:val="3C2E0626"/>
    <w:rsid w:val="3C5E715D"/>
    <w:rsid w:val="3C8F5568"/>
    <w:rsid w:val="3C9568F7"/>
    <w:rsid w:val="3C97441D"/>
    <w:rsid w:val="3CD411CD"/>
    <w:rsid w:val="3D00498C"/>
    <w:rsid w:val="3D0C0967"/>
    <w:rsid w:val="3D4D6240"/>
    <w:rsid w:val="3D633A68"/>
    <w:rsid w:val="3D734E6A"/>
    <w:rsid w:val="3D89645B"/>
    <w:rsid w:val="3DCC459A"/>
    <w:rsid w:val="3DEC2546"/>
    <w:rsid w:val="3DFD29A6"/>
    <w:rsid w:val="3E4B3711"/>
    <w:rsid w:val="3E4E0AC4"/>
    <w:rsid w:val="3E774506"/>
    <w:rsid w:val="3E8F1850"/>
    <w:rsid w:val="3E9A01F4"/>
    <w:rsid w:val="3EA370A9"/>
    <w:rsid w:val="3EBD39DD"/>
    <w:rsid w:val="3EC51715"/>
    <w:rsid w:val="3EDC59F2"/>
    <w:rsid w:val="3EEA4CD8"/>
    <w:rsid w:val="3EF94F1B"/>
    <w:rsid w:val="3F0B2EA0"/>
    <w:rsid w:val="3F5E1222"/>
    <w:rsid w:val="3F6727CC"/>
    <w:rsid w:val="3FAC01DF"/>
    <w:rsid w:val="3FC72C95"/>
    <w:rsid w:val="3FF878C8"/>
    <w:rsid w:val="3FFD4EDF"/>
    <w:rsid w:val="40297A82"/>
    <w:rsid w:val="404228F2"/>
    <w:rsid w:val="405A40DF"/>
    <w:rsid w:val="40802CFB"/>
    <w:rsid w:val="40B25CC9"/>
    <w:rsid w:val="40DF6392"/>
    <w:rsid w:val="40E251F4"/>
    <w:rsid w:val="40E57E4D"/>
    <w:rsid w:val="4101455B"/>
    <w:rsid w:val="410A78B3"/>
    <w:rsid w:val="41200E85"/>
    <w:rsid w:val="41391F47"/>
    <w:rsid w:val="41546D80"/>
    <w:rsid w:val="417C6167"/>
    <w:rsid w:val="41850CE8"/>
    <w:rsid w:val="41932688"/>
    <w:rsid w:val="41A43864"/>
    <w:rsid w:val="41B96BE3"/>
    <w:rsid w:val="41C31810"/>
    <w:rsid w:val="41C55588"/>
    <w:rsid w:val="41E01CE7"/>
    <w:rsid w:val="42246753"/>
    <w:rsid w:val="422C2B78"/>
    <w:rsid w:val="4230334A"/>
    <w:rsid w:val="42470693"/>
    <w:rsid w:val="42607D18"/>
    <w:rsid w:val="42804718"/>
    <w:rsid w:val="42B9333F"/>
    <w:rsid w:val="42C65A5C"/>
    <w:rsid w:val="42D31F27"/>
    <w:rsid w:val="42E3216A"/>
    <w:rsid w:val="430E62A6"/>
    <w:rsid w:val="4340580E"/>
    <w:rsid w:val="43452E25"/>
    <w:rsid w:val="43741014"/>
    <w:rsid w:val="43761230"/>
    <w:rsid w:val="438356FB"/>
    <w:rsid w:val="43C33D49"/>
    <w:rsid w:val="43E22422"/>
    <w:rsid w:val="43F6411F"/>
    <w:rsid w:val="44087E8B"/>
    <w:rsid w:val="441B5933"/>
    <w:rsid w:val="442247E6"/>
    <w:rsid w:val="444E3F5B"/>
    <w:rsid w:val="4456696C"/>
    <w:rsid w:val="4469669F"/>
    <w:rsid w:val="447B63D2"/>
    <w:rsid w:val="449D459A"/>
    <w:rsid w:val="44C71617"/>
    <w:rsid w:val="44D2693A"/>
    <w:rsid w:val="44FE14DD"/>
    <w:rsid w:val="45596713"/>
    <w:rsid w:val="45D71D2E"/>
    <w:rsid w:val="45E32481"/>
    <w:rsid w:val="45E701C3"/>
    <w:rsid w:val="45F621B4"/>
    <w:rsid w:val="462C5BD6"/>
    <w:rsid w:val="46326F64"/>
    <w:rsid w:val="465D0485"/>
    <w:rsid w:val="46715CDF"/>
    <w:rsid w:val="46A61E2C"/>
    <w:rsid w:val="46B362F7"/>
    <w:rsid w:val="46B61944"/>
    <w:rsid w:val="470B1C8F"/>
    <w:rsid w:val="47411B55"/>
    <w:rsid w:val="475C698F"/>
    <w:rsid w:val="47BC567F"/>
    <w:rsid w:val="47D91D8D"/>
    <w:rsid w:val="48253225"/>
    <w:rsid w:val="4841716B"/>
    <w:rsid w:val="484E4529"/>
    <w:rsid w:val="486755EB"/>
    <w:rsid w:val="487970CD"/>
    <w:rsid w:val="48831CF9"/>
    <w:rsid w:val="48961A2D"/>
    <w:rsid w:val="48B40105"/>
    <w:rsid w:val="48E7672C"/>
    <w:rsid w:val="49060960"/>
    <w:rsid w:val="49067070"/>
    <w:rsid w:val="495F7282"/>
    <w:rsid w:val="49A47ECE"/>
    <w:rsid w:val="49C03205"/>
    <w:rsid w:val="49C12AD9"/>
    <w:rsid w:val="49D62A28"/>
    <w:rsid w:val="49E62540"/>
    <w:rsid w:val="49EB7B56"/>
    <w:rsid w:val="4A1E617D"/>
    <w:rsid w:val="4A471230"/>
    <w:rsid w:val="4A5513D1"/>
    <w:rsid w:val="4A62606A"/>
    <w:rsid w:val="4A77763C"/>
    <w:rsid w:val="4AC80D07"/>
    <w:rsid w:val="4ADF76BB"/>
    <w:rsid w:val="4B1F21AD"/>
    <w:rsid w:val="4B3043BA"/>
    <w:rsid w:val="4B3D53FF"/>
    <w:rsid w:val="4B3F45FD"/>
    <w:rsid w:val="4B427C4A"/>
    <w:rsid w:val="4B5010E7"/>
    <w:rsid w:val="4B63653E"/>
    <w:rsid w:val="4B8D35BB"/>
    <w:rsid w:val="4B977F95"/>
    <w:rsid w:val="4BA6467C"/>
    <w:rsid w:val="4BB46D99"/>
    <w:rsid w:val="4BF47196"/>
    <w:rsid w:val="4C017B05"/>
    <w:rsid w:val="4C0373D9"/>
    <w:rsid w:val="4C0575F5"/>
    <w:rsid w:val="4C1B2975"/>
    <w:rsid w:val="4C3B3EBB"/>
    <w:rsid w:val="4C417F01"/>
    <w:rsid w:val="4C667968"/>
    <w:rsid w:val="4C800A2A"/>
    <w:rsid w:val="4CB46925"/>
    <w:rsid w:val="4CCC0113"/>
    <w:rsid w:val="4CFA4C80"/>
    <w:rsid w:val="4D432004"/>
    <w:rsid w:val="4D471547"/>
    <w:rsid w:val="4D587BF8"/>
    <w:rsid w:val="4D665E71"/>
    <w:rsid w:val="4D693BB4"/>
    <w:rsid w:val="4D8C301A"/>
    <w:rsid w:val="4D8E7176"/>
    <w:rsid w:val="4DA22C22"/>
    <w:rsid w:val="4DCE1C69"/>
    <w:rsid w:val="4E1E499E"/>
    <w:rsid w:val="4E2A50F1"/>
    <w:rsid w:val="4E2E2FF4"/>
    <w:rsid w:val="4E2F0959"/>
    <w:rsid w:val="4E323FA5"/>
    <w:rsid w:val="4E3E294A"/>
    <w:rsid w:val="4E4F4B57"/>
    <w:rsid w:val="4E58172D"/>
    <w:rsid w:val="4E7520E4"/>
    <w:rsid w:val="4E872543"/>
    <w:rsid w:val="4E9C0A59"/>
    <w:rsid w:val="4ED92673"/>
    <w:rsid w:val="4EEB25DD"/>
    <w:rsid w:val="4EF1525F"/>
    <w:rsid w:val="4EF15C0F"/>
    <w:rsid w:val="4EF23735"/>
    <w:rsid w:val="4F0B3174"/>
    <w:rsid w:val="4F22226C"/>
    <w:rsid w:val="4F397764"/>
    <w:rsid w:val="4F3D70A6"/>
    <w:rsid w:val="4F3F4BCC"/>
    <w:rsid w:val="4F5D5052"/>
    <w:rsid w:val="4F844CD5"/>
    <w:rsid w:val="4FA03191"/>
    <w:rsid w:val="4FAE1D52"/>
    <w:rsid w:val="4FB629B4"/>
    <w:rsid w:val="4FF77255"/>
    <w:rsid w:val="4FFA4F97"/>
    <w:rsid w:val="4FFC2ABD"/>
    <w:rsid w:val="50447FC0"/>
    <w:rsid w:val="50546455"/>
    <w:rsid w:val="505F4DFA"/>
    <w:rsid w:val="50854860"/>
    <w:rsid w:val="50A4015D"/>
    <w:rsid w:val="50B11AF9"/>
    <w:rsid w:val="50DD1178"/>
    <w:rsid w:val="50FE4613"/>
    <w:rsid w:val="5116195C"/>
    <w:rsid w:val="51735001"/>
    <w:rsid w:val="51826FF2"/>
    <w:rsid w:val="51840FBC"/>
    <w:rsid w:val="51AC1C3D"/>
    <w:rsid w:val="51B82A14"/>
    <w:rsid w:val="51C21AE4"/>
    <w:rsid w:val="51C55131"/>
    <w:rsid w:val="51DC2BA6"/>
    <w:rsid w:val="51F06651"/>
    <w:rsid w:val="51F85506"/>
    <w:rsid w:val="520B6FE7"/>
    <w:rsid w:val="5248023B"/>
    <w:rsid w:val="524F15CA"/>
    <w:rsid w:val="525A7F6F"/>
    <w:rsid w:val="52F83A10"/>
    <w:rsid w:val="530F48B5"/>
    <w:rsid w:val="5334431C"/>
    <w:rsid w:val="53422EDD"/>
    <w:rsid w:val="534236BD"/>
    <w:rsid w:val="5354676C"/>
    <w:rsid w:val="536746F1"/>
    <w:rsid w:val="53740BBC"/>
    <w:rsid w:val="537F5EDF"/>
    <w:rsid w:val="538708F0"/>
    <w:rsid w:val="538B4884"/>
    <w:rsid w:val="53937294"/>
    <w:rsid w:val="53AC47FA"/>
    <w:rsid w:val="53B10062"/>
    <w:rsid w:val="53B55382"/>
    <w:rsid w:val="53FA5565"/>
    <w:rsid w:val="54181E8F"/>
    <w:rsid w:val="543547EF"/>
    <w:rsid w:val="54420CBA"/>
    <w:rsid w:val="547E7F44"/>
    <w:rsid w:val="54972DB4"/>
    <w:rsid w:val="54D16B80"/>
    <w:rsid w:val="54EC75A4"/>
    <w:rsid w:val="54F56B1B"/>
    <w:rsid w:val="55161546"/>
    <w:rsid w:val="551B5793"/>
    <w:rsid w:val="55466588"/>
    <w:rsid w:val="555536C4"/>
    <w:rsid w:val="55841D62"/>
    <w:rsid w:val="55AD03B6"/>
    <w:rsid w:val="55B17EA6"/>
    <w:rsid w:val="55F52488"/>
    <w:rsid w:val="55F83D27"/>
    <w:rsid w:val="560501F2"/>
    <w:rsid w:val="561D378D"/>
    <w:rsid w:val="562E14F6"/>
    <w:rsid w:val="56372AA1"/>
    <w:rsid w:val="564E1B99"/>
    <w:rsid w:val="567535C9"/>
    <w:rsid w:val="56821842"/>
    <w:rsid w:val="56892BD1"/>
    <w:rsid w:val="56B440F1"/>
    <w:rsid w:val="57062473"/>
    <w:rsid w:val="570B1838"/>
    <w:rsid w:val="574865E8"/>
    <w:rsid w:val="577C3602"/>
    <w:rsid w:val="577D2735"/>
    <w:rsid w:val="578A4E52"/>
    <w:rsid w:val="57C57C38"/>
    <w:rsid w:val="57D63BF4"/>
    <w:rsid w:val="57D83E10"/>
    <w:rsid w:val="57D8796C"/>
    <w:rsid w:val="57E24C8E"/>
    <w:rsid w:val="580249E9"/>
    <w:rsid w:val="58773629"/>
    <w:rsid w:val="587D0513"/>
    <w:rsid w:val="588B70D4"/>
    <w:rsid w:val="58922210"/>
    <w:rsid w:val="58D740C7"/>
    <w:rsid w:val="58E6255C"/>
    <w:rsid w:val="590D7AE9"/>
    <w:rsid w:val="592038AA"/>
    <w:rsid w:val="59352B9C"/>
    <w:rsid w:val="594352B9"/>
    <w:rsid w:val="59570D64"/>
    <w:rsid w:val="59701E26"/>
    <w:rsid w:val="59B61F2F"/>
    <w:rsid w:val="59BD32BD"/>
    <w:rsid w:val="59F760A3"/>
    <w:rsid w:val="5A455061"/>
    <w:rsid w:val="5A47502D"/>
    <w:rsid w:val="5A694668"/>
    <w:rsid w:val="5AA24261"/>
    <w:rsid w:val="5AD86008"/>
    <w:rsid w:val="5AF80325"/>
    <w:rsid w:val="5B3312E5"/>
    <w:rsid w:val="5B37709F"/>
    <w:rsid w:val="5B841BB9"/>
    <w:rsid w:val="5B975D90"/>
    <w:rsid w:val="5BA509F2"/>
    <w:rsid w:val="5BA83AF9"/>
    <w:rsid w:val="5BAB5397"/>
    <w:rsid w:val="5BD66D53"/>
    <w:rsid w:val="5BFD6D62"/>
    <w:rsid w:val="5BFE7BBD"/>
    <w:rsid w:val="5C294C3A"/>
    <w:rsid w:val="5C8F26F0"/>
    <w:rsid w:val="5C930305"/>
    <w:rsid w:val="5C966047"/>
    <w:rsid w:val="5D184CAE"/>
    <w:rsid w:val="5D283143"/>
    <w:rsid w:val="5D375134"/>
    <w:rsid w:val="5D557CB0"/>
    <w:rsid w:val="5D5C103F"/>
    <w:rsid w:val="5D7A14C5"/>
    <w:rsid w:val="5DDB01B6"/>
    <w:rsid w:val="5DE66B5A"/>
    <w:rsid w:val="5E015742"/>
    <w:rsid w:val="5E2022BD"/>
    <w:rsid w:val="5E2356B9"/>
    <w:rsid w:val="5E2A106F"/>
    <w:rsid w:val="5E404959"/>
    <w:rsid w:val="5E820631"/>
    <w:rsid w:val="5ED510A9"/>
    <w:rsid w:val="5EF84D97"/>
    <w:rsid w:val="5EFF4473"/>
    <w:rsid w:val="5F13572D"/>
    <w:rsid w:val="5F1C2834"/>
    <w:rsid w:val="5F3758C0"/>
    <w:rsid w:val="5F443B39"/>
    <w:rsid w:val="5F526256"/>
    <w:rsid w:val="5F546472"/>
    <w:rsid w:val="5F7A57AC"/>
    <w:rsid w:val="5F9D563F"/>
    <w:rsid w:val="5F9F5213"/>
    <w:rsid w:val="5FA10F8B"/>
    <w:rsid w:val="60025ECE"/>
    <w:rsid w:val="600A7AA3"/>
    <w:rsid w:val="6017124D"/>
    <w:rsid w:val="60343BAD"/>
    <w:rsid w:val="60536729"/>
    <w:rsid w:val="605D1356"/>
    <w:rsid w:val="60675D31"/>
    <w:rsid w:val="60BB7E2A"/>
    <w:rsid w:val="60C71F4C"/>
    <w:rsid w:val="60CC028A"/>
    <w:rsid w:val="60D62EB6"/>
    <w:rsid w:val="60DB227B"/>
    <w:rsid w:val="6162474A"/>
    <w:rsid w:val="61720E31"/>
    <w:rsid w:val="61B72CE8"/>
    <w:rsid w:val="61BC20AC"/>
    <w:rsid w:val="61D07906"/>
    <w:rsid w:val="61FF01EB"/>
    <w:rsid w:val="620953BE"/>
    <w:rsid w:val="623205C0"/>
    <w:rsid w:val="62327559"/>
    <w:rsid w:val="62775FD3"/>
    <w:rsid w:val="627D5CDF"/>
    <w:rsid w:val="62830E1C"/>
    <w:rsid w:val="62DE6052"/>
    <w:rsid w:val="630006BE"/>
    <w:rsid w:val="631C3299"/>
    <w:rsid w:val="631F6D97"/>
    <w:rsid w:val="6321792E"/>
    <w:rsid w:val="63302D52"/>
    <w:rsid w:val="638B61DA"/>
    <w:rsid w:val="63AE604C"/>
    <w:rsid w:val="63E853DA"/>
    <w:rsid w:val="641C32D6"/>
    <w:rsid w:val="64354398"/>
    <w:rsid w:val="643E149E"/>
    <w:rsid w:val="64515C6C"/>
    <w:rsid w:val="64634A61"/>
    <w:rsid w:val="646B1B68"/>
    <w:rsid w:val="64990483"/>
    <w:rsid w:val="64C179D9"/>
    <w:rsid w:val="64F97173"/>
    <w:rsid w:val="64FE478A"/>
    <w:rsid w:val="651D5558"/>
    <w:rsid w:val="6546685C"/>
    <w:rsid w:val="6557674D"/>
    <w:rsid w:val="656C403D"/>
    <w:rsid w:val="65744A4C"/>
    <w:rsid w:val="657D1B52"/>
    <w:rsid w:val="65A90B99"/>
    <w:rsid w:val="65AC068A"/>
    <w:rsid w:val="65B71508"/>
    <w:rsid w:val="65F84571"/>
    <w:rsid w:val="65F8742B"/>
    <w:rsid w:val="65FC6F1B"/>
    <w:rsid w:val="66014531"/>
    <w:rsid w:val="660B1854"/>
    <w:rsid w:val="66263F98"/>
    <w:rsid w:val="66501015"/>
    <w:rsid w:val="6650370B"/>
    <w:rsid w:val="666920D7"/>
    <w:rsid w:val="66897B53"/>
    <w:rsid w:val="668B64F1"/>
    <w:rsid w:val="6692162D"/>
    <w:rsid w:val="66A17AC3"/>
    <w:rsid w:val="66D103A8"/>
    <w:rsid w:val="66F61BBC"/>
    <w:rsid w:val="670B521C"/>
    <w:rsid w:val="670C13E0"/>
    <w:rsid w:val="671D539B"/>
    <w:rsid w:val="67220C03"/>
    <w:rsid w:val="672901E4"/>
    <w:rsid w:val="673152EA"/>
    <w:rsid w:val="673D3C8F"/>
    <w:rsid w:val="67902011"/>
    <w:rsid w:val="679A2E90"/>
    <w:rsid w:val="67B101D9"/>
    <w:rsid w:val="67D22629"/>
    <w:rsid w:val="67F56318"/>
    <w:rsid w:val="682B3AE8"/>
    <w:rsid w:val="6837248C"/>
    <w:rsid w:val="685C1EF3"/>
    <w:rsid w:val="68AF64C7"/>
    <w:rsid w:val="68CA50AF"/>
    <w:rsid w:val="68F137AB"/>
    <w:rsid w:val="69224EEB"/>
    <w:rsid w:val="693D12DC"/>
    <w:rsid w:val="694F7CAA"/>
    <w:rsid w:val="698520BF"/>
    <w:rsid w:val="69C064B2"/>
    <w:rsid w:val="69E76134"/>
    <w:rsid w:val="6A4B221F"/>
    <w:rsid w:val="6A6E23B2"/>
    <w:rsid w:val="6A755D5D"/>
    <w:rsid w:val="6A9242F2"/>
    <w:rsid w:val="6AD93CCF"/>
    <w:rsid w:val="6AE52674"/>
    <w:rsid w:val="6AF01018"/>
    <w:rsid w:val="6AF02DC7"/>
    <w:rsid w:val="6AF97E0E"/>
    <w:rsid w:val="6B1E7934"/>
    <w:rsid w:val="6B244679"/>
    <w:rsid w:val="6B6A4927"/>
    <w:rsid w:val="6BAC7F32"/>
    <w:rsid w:val="6BB838E4"/>
    <w:rsid w:val="6BC229B5"/>
    <w:rsid w:val="6C0E59F6"/>
    <w:rsid w:val="6C5C0714"/>
    <w:rsid w:val="6C686C2A"/>
    <w:rsid w:val="6C6D2921"/>
    <w:rsid w:val="6C89702F"/>
    <w:rsid w:val="6C93452C"/>
    <w:rsid w:val="6CA61994"/>
    <w:rsid w:val="6CB30FA0"/>
    <w:rsid w:val="6CB542C8"/>
    <w:rsid w:val="6CB73B9C"/>
    <w:rsid w:val="6CE626D3"/>
    <w:rsid w:val="6CF44DF0"/>
    <w:rsid w:val="6CFC5A53"/>
    <w:rsid w:val="6D14141C"/>
    <w:rsid w:val="6D4443C1"/>
    <w:rsid w:val="6D4F2BC8"/>
    <w:rsid w:val="6D7970A3"/>
    <w:rsid w:val="6DA63788"/>
    <w:rsid w:val="6DB12CE1"/>
    <w:rsid w:val="6DC5678C"/>
    <w:rsid w:val="6DC72505"/>
    <w:rsid w:val="6DEA1D4F"/>
    <w:rsid w:val="6DF36E56"/>
    <w:rsid w:val="6E1119D2"/>
    <w:rsid w:val="6E423939"/>
    <w:rsid w:val="6E82642B"/>
    <w:rsid w:val="6F101C89"/>
    <w:rsid w:val="6F125A01"/>
    <w:rsid w:val="6F241291"/>
    <w:rsid w:val="6F3E2352"/>
    <w:rsid w:val="6F8F7052"/>
    <w:rsid w:val="6FC36CFC"/>
    <w:rsid w:val="6FE0340A"/>
    <w:rsid w:val="70025A76"/>
    <w:rsid w:val="700370F8"/>
    <w:rsid w:val="702C664F"/>
    <w:rsid w:val="705D4A5A"/>
    <w:rsid w:val="70756248"/>
    <w:rsid w:val="709D12FB"/>
    <w:rsid w:val="70C40F7D"/>
    <w:rsid w:val="71017ADB"/>
    <w:rsid w:val="71094BE2"/>
    <w:rsid w:val="711E68DF"/>
    <w:rsid w:val="714838BE"/>
    <w:rsid w:val="717402AD"/>
    <w:rsid w:val="71997D14"/>
    <w:rsid w:val="719E532A"/>
    <w:rsid w:val="71C31235"/>
    <w:rsid w:val="71C70D25"/>
    <w:rsid w:val="72165809"/>
    <w:rsid w:val="72A9667D"/>
    <w:rsid w:val="72BB3CBA"/>
    <w:rsid w:val="72C15774"/>
    <w:rsid w:val="72DB610A"/>
    <w:rsid w:val="72FD2105"/>
    <w:rsid w:val="73010139"/>
    <w:rsid w:val="73076EFF"/>
    <w:rsid w:val="73506AF8"/>
    <w:rsid w:val="736E6F7E"/>
    <w:rsid w:val="73774085"/>
    <w:rsid w:val="737A3B75"/>
    <w:rsid w:val="739C3AEB"/>
    <w:rsid w:val="73CF3EC1"/>
    <w:rsid w:val="741E2752"/>
    <w:rsid w:val="74597C2E"/>
    <w:rsid w:val="748F53FE"/>
    <w:rsid w:val="749347B2"/>
    <w:rsid w:val="74D13C69"/>
    <w:rsid w:val="751029E3"/>
    <w:rsid w:val="757765BE"/>
    <w:rsid w:val="759A405B"/>
    <w:rsid w:val="75E8126A"/>
    <w:rsid w:val="765955AE"/>
    <w:rsid w:val="766C1E9B"/>
    <w:rsid w:val="76816FC9"/>
    <w:rsid w:val="76AE24B4"/>
    <w:rsid w:val="76C676AB"/>
    <w:rsid w:val="76C9109B"/>
    <w:rsid w:val="76DD06A3"/>
    <w:rsid w:val="76EF0F69"/>
    <w:rsid w:val="76FD2AF3"/>
    <w:rsid w:val="77004391"/>
    <w:rsid w:val="77420E4E"/>
    <w:rsid w:val="775A1CF3"/>
    <w:rsid w:val="775B5A6C"/>
    <w:rsid w:val="77950F7E"/>
    <w:rsid w:val="779C67B0"/>
    <w:rsid w:val="77BC650A"/>
    <w:rsid w:val="77C47AB5"/>
    <w:rsid w:val="78000AED"/>
    <w:rsid w:val="783B7D77"/>
    <w:rsid w:val="783C764B"/>
    <w:rsid w:val="78403DA8"/>
    <w:rsid w:val="784309DA"/>
    <w:rsid w:val="786D3CA8"/>
    <w:rsid w:val="786D5A56"/>
    <w:rsid w:val="786F17CF"/>
    <w:rsid w:val="787B63C5"/>
    <w:rsid w:val="7880578A"/>
    <w:rsid w:val="78886D34"/>
    <w:rsid w:val="78A551F0"/>
    <w:rsid w:val="78C2280A"/>
    <w:rsid w:val="78D635FC"/>
    <w:rsid w:val="78FB7506"/>
    <w:rsid w:val="791505C8"/>
    <w:rsid w:val="79183C14"/>
    <w:rsid w:val="79297BCF"/>
    <w:rsid w:val="79C63670"/>
    <w:rsid w:val="79D02741"/>
    <w:rsid w:val="79DB3D4B"/>
    <w:rsid w:val="79FA156C"/>
    <w:rsid w:val="79FD2E0A"/>
    <w:rsid w:val="7A45548A"/>
    <w:rsid w:val="7A513882"/>
    <w:rsid w:val="7A5A025C"/>
    <w:rsid w:val="7A684727"/>
    <w:rsid w:val="7A792E87"/>
    <w:rsid w:val="7A9B4AFD"/>
    <w:rsid w:val="7AB14320"/>
    <w:rsid w:val="7AED2E7F"/>
    <w:rsid w:val="7AED7C05"/>
    <w:rsid w:val="7B4A207F"/>
    <w:rsid w:val="7B51165F"/>
    <w:rsid w:val="7B580C40"/>
    <w:rsid w:val="7B6A2721"/>
    <w:rsid w:val="7B7670B7"/>
    <w:rsid w:val="7B86755B"/>
    <w:rsid w:val="7B9D6653"/>
    <w:rsid w:val="7BEE5100"/>
    <w:rsid w:val="7BF5023D"/>
    <w:rsid w:val="7C0E12FE"/>
    <w:rsid w:val="7C120DEF"/>
    <w:rsid w:val="7C127041"/>
    <w:rsid w:val="7C3F3BAE"/>
    <w:rsid w:val="7C3F770A"/>
    <w:rsid w:val="7C4422BF"/>
    <w:rsid w:val="7C4F1B5E"/>
    <w:rsid w:val="7C574A54"/>
    <w:rsid w:val="7C647170"/>
    <w:rsid w:val="7C701FB9"/>
    <w:rsid w:val="7CCC223C"/>
    <w:rsid w:val="7CE9591A"/>
    <w:rsid w:val="7CF624BE"/>
    <w:rsid w:val="7D060228"/>
    <w:rsid w:val="7D197F5B"/>
    <w:rsid w:val="7D1E1A15"/>
    <w:rsid w:val="7D23702C"/>
    <w:rsid w:val="7D4E22FA"/>
    <w:rsid w:val="7D612BF7"/>
    <w:rsid w:val="7D67516A"/>
    <w:rsid w:val="7D6A4C5A"/>
    <w:rsid w:val="7D847ACA"/>
    <w:rsid w:val="7D8555F0"/>
    <w:rsid w:val="7D985324"/>
    <w:rsid w:val="7D9D14A0"/>
    <w:rsid w:val="7DA2715F"/>
    <w:rsid w:val="7DC223A1"/>
    <w:rsid w:val="7DFF53A3"/>
    <w:rsid w:val="7E6D055E"/>
    <w:rsid w:val="7E7A0146"/>
    <w:rsid w:val="7EDA4066"/>
    <w:rsid w:val="7EEC1DCB"/>
    <w:rsid w:val="7F005876"/>
    <w:rsid w:val="7F052E8D"/>
    <w:rsid w:val="7F080287"/>
    <w:rsid w:val="7F1E5CFC"/>
    <w:rsid w:val="7F2350C1"/>
    <w:rsid w:val="7F606315"/>
    <w:rsid w:val="7F710522"/>
    <w:rsid w:val="7F71407E"/>
    <w:rsid w:val="7F82097A"/>
    <w:rsid w:val="7FC71EF0"/>
    <w:rsid w:val="7FC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8"/>
    <w:autoRedefine/>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semiHidden/>
    <w:unhideWhenUsed/>
    <w:qFormat/>
    <w:uiPriority w:val="99"/>
    <w:pPr>
      <w:ind w:firstLine="420" w:firstLineChars="200"/>
    </w:pPr>
  </w:style>
  <w:style w:type="paragraph" w:styleId="5">
    <w:name w:val="Body Text"/>
    <w:basedOn w:val="1"/>
    <w:link w:val="20"/>
    <w:autoRedefine/>
    <w:semiHidden/>
    <w:unhideWhenUsed/>
    <w:qFormat/>
    <w:uiPriority w:val="99"/>
    <w:pPr>
      <w:spacing w:after="120"/>
    </w:pPr>
  </w:style>
  <w:style w:type="paragraph" w:styleId="6">
    <w:name w:val="Body Text Indent"/>
    <w:basedOn w:val="1"/>
    <w:next w:val="4"/>
    <w:link w:val="23"/>
    <w:autoRedefine/>
    <w:qFormat/>
    <w:uiPriority w:val="0"/>
    <w:pPr>
      <w:spacing w:after="120"/>
      <w:ind w:left="420" w:leftChars="200"/>
    </w:pPr>
    <w:rPr>
      <w:rFonts w:ascii="Times New Roman" w:hAnsi="Times New Roman" w:eastAsia="宋体" w:cs="Times New Roman"/>
      <w:szCs w:val="24"/>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2"/>
    <w:basedOn w:val="1"/>
    <w:link w:val="17"/>
    <w:autoRedefine/>
    <w:qFormat/>
    <w:uiPriority w:val="0"/>
    <w:pPr>
      <w:spacing w:line="360" w:lineRule="auto"/>
    </w:pPr>
    <w:rPr>
      <w:rFonts w:ascii="Times New Roman" w:hAnsi="Times New Roman" w:eastAsia="宋体" w:cs="Times New Roman"/>
      <w:sz w:val="24"/>
      <w:szCs w:val="24"/>
    </w:rPr>
  </w:style>
  <w:style w:type="paragraph" w:styleId="10">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13">
    <w:name w:val="Hyperlink"/>
    <w:basedOn w:val="12"/>
    <w:autoRedefine/>
    <w:semiHidden/>
    <w:unhideWhenUsed/>
    <w:qFormat/>
    <w:uiPriority w:val="99"/>
    <w:rPr>
      <w:color w:val="0000FF"/>
      <w:u w:val="single"/>
    </w:rPr>
  </w:style>
  <w:style w:type="character" w:customStyle="1" w:styleId="14">
    <w:name w:val="标题 2 Char"/>
    <w:basedOn w:val="12"/>
    <w:link w:val="2"/>
    <w:autoRedefine/>
    <w:qFormat/>
    <w:uiPriority w:val="9"/>
    <w:rPr>
      <w:rFonts w:ascii="宋体" w:hAnsi="宋体" w:eastAsia="宋体" w:cs="宋体"/>
      <w:b/>
      <w:bCs/>
      <w:kern w:val="0"/>
      <w:sz w:val="36"/>
      <w:szCs w:val="36"/>
    </w:rPr>
  </w:style>
  <w:style w:type="character" w:customStyle="1" w:styleId="15">
    <w:name w:val="页眉 Char"/>
    <w:basedOn w:val="12"/>
    <w:link w:val="8"/>
    <w:autoRedefine/>
    <w:qFormat/>
    <w:uiPriority w:val="99"/>
    <w:rPr>
      <w:sz w:val="18"/>
      <w:szCs w:val="18"/>
    </w:rPr>
  </w:style>
  <w:style w:type="character" w:customStyle="1" w:styleId="16">
    <w:name w:val="页脚 Char"/>
    <w:basedOn w:val="12"/>
    <w:link w:val="7"/>
    <w:autoRedefine/>
    <w:qFormat/>
    <w:uiPriority w:val="99"/>
    <w:rPr>
      <w:sz w:val="18"/>
      <w:szCs w:val="18"/>
    </w:rPr>
  </w:style>
  <w:style w:type="character" w:customStyle="1" w:styleId="17">
    <w:name w:val="正文文本 2 Char"/>
    <w:basedOn w:val="12"/>
    <w:link w:val="9"/>
    <w:autoRedefine/>
    <w:qFormat/>
    <w:uiPriority w:val="0"/>
    <w:rPr>
      <w:rFonts w:ascii="Times New Roman" w:hAnsi="Times New Roman" w:eastAsia="宋体" w:cs="Times New Roman"/>
      <w:sz w:val="24"/>
      <w:szCs w:val="24"/>
    </w:rPr>
  </w:style>
  <w:style w:type="character" w:customStyle="1" w:styleId="18">
    <w:name w:val="标题 3 Char"/>
    <w:basedOn w:val="12"/>
    <w:link w:val="3"/>
    <w:autoRedefine/>
    <w:semiHidden/>
    <w:qFormat/>
    <w:uiPriority w:val="9"/>
    <w:rPr>
      <w:b/>
      <w:bCs/>
      <w:sz w:val="32"/>
      <w:szCs w:val="32"/>
    </w:rPr>
  </w:style>
  <w:style w:type="paragraph" w:styleId="19">
    <w:name w:val="List Paragraph"/>
    <w:basedOn w:val="1"/>
    <w:autoRedefine/>
    <w:qFormat/>
    <w:uiPriority w:val="1"/>
    <w:pPr>
      <w:ind w:firstLine="420" w:firstLineChars="200"/>
    </w:pPr>
  </w:style>
  <w:style w:type="character" w:customStyle="1" w:styleId="20">
    <w:name w:val="正文文本 Char"/>
    <w:basedOn w:val="12"/>
    <w:link w:val="5"/>
    <w:autoRedefine/>
    <w:semiHidden/>
    <w:qFormat/>
    <w:uiPriority w:val="99"/>
  </w:style>
  <w:style w:type="table" w:customStyle="1" w:styleId="21">
    <w:name w:val="Table Normal"/>
    <w:autoRedefine/>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paragraph" w:customStyle="1" w:styleId="22">
    <w:name w:val="Table Paragraph"/>
    <w:basedOn w:val="1"/>
    <w:autoRedefine/>
    <w:qFormat/>
    <w:uiPriority w:val="1"/>
    <w:pPr>
      <w:autoSpaceDE w:val="0"/>
      <w:autoSpaceDN w:val="0"/>
      <w:jc w:val="left"/>
    </w:pPr>
    <w:rPr>
      <w:rFonts w:ascii="Noto Sans Mono CJK JP Bold" w:hAnsi="Noto Sans Mono CJK JP Bold" w:eastAsia="Noto Sans Mono CJK JP Bold" w:cs="Noto Sans Mono CJK JP Bold"/>
      <w:kern w:val="0"/>
      <w:sz w:val="22"/>
    </w:rPr>
  </w:style>
  <w:style w:type="character" w:customStyle="1" w:styleId="23">
    <w:name w:val="正文文本缩进 Char"/>
    <w:basedOn w:val="12"/>
    <w:link w:val="6"/>
    <w:autoRedefine/>
    <w:qFormat/>
    <w:uiPriority w:val="0"/>
    <w:rPr>
      <w:rFonts w:ascii="Times New Roman" w:hAnsi="Times New Roman" w:eastAsia="宋体" w:cs="Times New Roman"/>
      <w:szCs w:val="24"/>
    </w:rPr>
  </w:style>
  <w:style w:type="character" w:customStyle="1" w:styleId="24">
    <w:name w:val="NormalCharacter"/>
    <w:link w:val="25"/>
    <w:autoRedefine/>
    <w:qFormat/>
    <w:uiPriority w:val="0"/>
    <w:rPr>
      <w:rFonts w:ascii="Tahoma" w:hAnsi="Tahoma"/>
      <w:sz w:val="24"/>
      <w:szCs w:val="20"/>
    </w:rPr>
  </w:style>
  <w:style w:type="paragraph" w:customStyle="1" w:styleId="25">
    <w:name w:val="UserStyle_85"/>
    <w:basedOn w:val="1"/>
    <w:link w:val="24"/>
    <w:autoRedefine/>
    <w:qFormat/>
    <w:uiPriority w:val="0"/>
    <w:rPr>
      <w:rFonts w:ascii="Tahoma" w:hAnsi="Tahoma"/>
      <w:sz w:val="24"/>
      <w:szCs w:val="20"/>
    </w:rPr>
  </w:style>
  <w:style w:type="paragraph" w:customStyle="1" w:styleId="26">
    <w:name w:val="无间隔1"/>
    <w:autoRedefine/>
    <w:qFormat/>
    <w:uiPriority w:val="99"/>
    <w:pPr>
      <w:adjustRightInd w:val="0"/>
      <w:snapToGrid w:val="0"/>
    </w:pPr>
    <w:rPr>
      <w:rFonts w:ascii="Tahoma" w:hAnsi="Tahoma" w:eastAsia="微软雅黑" w:cs="Times New Roman"/>
      <w:kern w:val="0"/>
      <w:sz w:val="22"/>
      <w:szCs w:val="22"/>
      <w:lang w:val="en-US" w:eastAsia="zh-CN" w:bidi="ar-SA"/>
    </w:rPr>
  </w:style>
  <w:style w:type="paragraph" w:customStyle="1" w:styleId="27">
    <w:name w:val="无间隔11"/>
    <w:autoRedefine/>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7</Pages>
  <Words>4240</Words>
  <Characters>4506</Characters>
  <Lines>24</Lines>
  <Paragraphs>6</Paragraphs>
  <TotalTime>21</TotalTime>
  <ScaleCrop>false</ScaleCrop>
  <LinksUpToDate>false</LinksUpToDate>
  <CharactersWithSpaces>4593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2023-02-19T07:22:00Z</dcterms:created>
  <dc:creator>Administrator</dc:creator>
  <cp:lastModifiedBy>AWNYOA</cp:lastModifiedBy>
  <cp:lastPrinted>2023-02-24T07:32:00Z</cp:lastPrinted>
  <dcterms:modified xsi:type="dcterms:W3CDTF">2025-12-04T10:00:38Z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1D467BB694FD45A3ABB4A81B80977F9A_13</vt:lpwstr>
  </property>
  <property fmtid="{D5CDD505-2E9C-101B-9397-08002B2CF9AE}" pid="4" name="KSOTemplateDocerSaveRecord">
    <vt:lpwstr>eyJoZGlkIjoiNjljYTdmMjk3Y2VlMjZjMjJjOTYyMTc2ODI3YWU2OTAiLCJ1c2VySWQiOiIyODcyNDY1NTQifQ==</vt:lpwstr>
  </property>
</Properties>
</file>