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DB4F60">
      <w:pPr>
        <w:spacing w:line="360" w:lineRule="auto"/>
        <w:jc w:val="center"/>
        <w:rPr>
          <w:rFonts w:asciiTheme="minorEastAsia" w:hAnsiTheme="minorEastAsia"/>
          <w:b/>
          <w:bCs/>
          <w:sz w:val="36"/>
          <w:szCs w:val="24"/>
        </w:rPr>
      </w:pPr>
      <w:r>
        <w:rPr>
          <w:rFonts w:hint="eastAsia" w:asciiTheme="minorEastAsia" w:hAnsiTheme="minorEastAsia"/>
          <w:b/>
          <w:bCs/>
          <w:sz w:val="36"/>
          <w:szCs w:val="24"/>
        </w:rPr>
        <w:t>重庆冠达世纪游轮有限公司招标公告</w:t>
      </w:r>
    </w:p>
    <w:p w14:paraId="722B823A">
      <w:pPr>
        <w:spacing w:line="360" w:lineRule="auto"/>
        <w:ind w:firstLine="424" w:firstLineChars="177"/>
        <w:rPr>
          <w:rFonts w:asciiTheme="minorEastAsia" w:hAnsiTheme="minorEastAsia"/>
          <w:sz w:val="24"/>
          <w:szCs w:val="24"/>
        </w:rPr>
      </w:pPr>
      <w:r>
        <w:rPr>
          <w:rFonts w:asciiTheme="minorEastAsia" w:hAnsiTheme="minorEastAsia"/>
          <w:sz w:val="24"/>
          <w:szCs w:val="24"/>
        </w:rPr>
        <w:t>重庆冠达世纪游轮有限公司前身系深圳中小板上市企业——重庆新世纪游轮股份有限公司，开辟了长江航运IPO、游轮股、重庆旅游企业股、全国旅游业民营企业股上市的新纪录，现为隶属于重庆冠达控股集团有限公司的全资子公司。拥有“世纪游轮”品牌下现代科技豪华五星级游轮舰队</w:t>
      </w:r>
      <w:r>
        <w:rPr>
          <w:rFonts w:hint="eastAsia" w:asciiTheme="minorEastAsia" w:hAnsiTheme="minorEastAsia"/>
          <w:sz w:val="24"/>
          <w:szCs w:val="24"/>
        </w:rPr>
        <w:t>。</w:t>
      </w:r>
    </w:p>
    <w:p w14:paraId="1751B6BC">
      <w:pPr>
        <w:spacing w:line="360" w:lineRule="auto"/>
        <w:ind w:firstLine="424" w:firstLineChars="177"/>
        <w:rPr>
          <w:rFonts w:asciiTheme="minorEastAsia" w:hAnsiTheme="minorEastAsia"/>
          <w:sz w:val="24"/>
          <w:szCs w:val="24"/>
        </w:rPr>
      </w:pPr>
      <w:r>
        <w:rPr>
          <w:rFonts w:asciiTheme="minorEastAsia" w:hAnsiTheme="minorEastAsia"/>
          <w:sz w:val="24"/>
          <w:szCs w:val="24"/>
        </w:rPr>
        <w:t>作为长江上集游轮自主设计、自行建造、自力运营、自主营销为一体的全产业链公司，</w:t>
      </w:r>
      <w:r>
        <w:rPr>
          <w:rFonts w:hint="eastAsia" w:asciiTheme="minorEastAsia" w:hAnsiTheme="minorEastAsia"/>
          <w:sz w:val="24"/>
          <w:szCs w:val="24"/>
        </w:rPr>
        <w:t>是</w:t>
      </w:r>
      <w:r>
        <w:rPr>
          <w:rFonts w:asciiTheme="minorEastAsia" w:hAnsiTheme="minorEastAsia"/>
          <w:sz w:val="24"/>
          <w:szCs w:val="24"/>
        </w:rPr>
        <w:t>安全、绿色、科技、智能、舒适的行业标准先行</w:t>
      </w:r>
      <w:r>
        <w:rPr>
          <w:rFonts w:hint="eastAsia" w:asciiTheme="minorEastAsia" w:hAnsiTheme="minorEastAsia"/>
          <w:sz w:val="24"/>
          <w:szCs w:val="24"/>
        </w:rPr>
        <w:t>者。</w:t>
      </w:r>
    </w:p>
    <w:p w14:paraId="45385B57">
      <w:pPr>
        <w:spacing w:line="360" w:lineRule="auto"/>
        <w:ind w:firstLine="424" w:firstLineChars="177"/>
        <w:rPr>
          <w:rFonts w:asciiTheme="minorEastAsia" w:hAnsiTheme="minorEastAsia"/>
          <w:sz w:val="24"/>
          <w:szCs w:val="24"/>
        </w:rPr>
      </w:pPr>
      <w:r>
        <w:rPr>
          <w:rFonts w:hint="eastAsia" w:asciiTheme="minorEastAsia" w:hAnsiTheme="minorEastAsia"/>
          <w:sz w:val="24"/>
          <w:szCs w:val="24"/>
        </w:rPr>
        <w:t>本项目</w:t>
      </w:r>
      <w:r>
        <w:rPr>
          <w:rFonts w:hint="eastAsia" w:asciiTheme="minorEastAsia" w:hAnsiTheme="minorEastAsia"/>
          <w:sz w:val="24"/>
          <w:szCs w:val="24"/>
          <w:u w:val="single"/>
        </w:rPr>
        <w:t>　2025世纪游轮</w:t>
      </w:r>
      <w:r>
        <w:rPr>
          <w:rFonts w:hint="eastAsia" w:asciiTheme="minorEastAsia" w:hAnsiTheme="minorEastAsia"/>
          <w:color w:val="0000FF"/>
          <w:sz w:val="24"/>
          <w:szCs w:val="24"/>
          <w:u w:val="single"/>
          <w:lang w:val="en-US" w:eastAsia="zh-CN"/>
        </w:rPr>
        <w:t>暑期亲子季</w:t>
      </w:r>
      <w:r>
        <w:rPr>
          <w:rFonts w:hint="eastAsia" w:asciiTheme="minorEastAsia" w:hAnsiTheme="minorEastAsia"/>
          <w:sz w:val="24"/>
          <w:szCs w:val="24"/>
          <w:u w:val="single"/>
        </w:rPr>
        <w:t xml:space="preserve">主题活动项目招标  </w:t>
      </w:r>
      <w:r>
        <w:rPr>
          <w:rFonts w:hint="eastAsia" w:asciiTheme="minorEastAsia" w:hAnsiTheme="minorEastAsia"/>
          <w:sz w:val="24"/>
          <w:szCs w:val="24"/>
        </w:rPr>
        <w:t>资金来自</w:t>
      </w:r>
      <w:r>
        <w:rPr>
          <w:rFonts w:hint="eastAsia" w:asciiTheme="minorEastAsia" w:hAnsiTheme="minorEastAsia"/>
          <w:sz w:val="24"/>
          <w:szCs w:val="24"/>
          <w:u w:val="single"/>
        </w:rPr>
        <w:t xml:space="preserve"> 自筹资金 </w:t>
      </w:r>
      <w:r>
        <w:rPr>
          <w:rFonts w:hint="eastAsia" w:asciiTheme="minorEastAsia" w:hAnsiTheme="minorEastAsia"/>
          <w:sz w:val="24"/>
          <w:szCs w:val="24"/>
        </w:rPr>
        <w:t>已全部到位。项目已具备招标条件，现对该项目进行公开招标。</w:t>
      </w:r>
    </w:p>
    <w:p w14:paraId="70684D8A">
      <w:pPr>
        <w:spacing w:line="360" w:lineRule="auto"/>
        <w:ind w:firstLine="480"/>
        <w:rPr>
          <w:rFonts w:asciiTheme="minorEastAsia" w:hAnsiTheme="minorEastAsia"/>
          <w:sz w:val="24"/>
          <w:szCs w:val="24"/>
        </w:rPr>
      </w:pPr>
    </w:p>
    <w:p w14:paraId="62E4942B">
      <w:pPr>
        <w:pStyle w:val="19"/>
        <w:widowControl/>
        <w:numPr>
          <w:ilvl w:val="0"/>
          <w:numId w:val="1"/>
        </w:numPr>
        <w:shd w:val="clear" w:color="auto" w:fill="FFFFFF"/>
        <w:spacing w:line="360" w:lineRule="auto"/>
        <w:ind w:firstLineChars="0"/>
        <w:outlineLvl w:val="1"/>
        <w:rPr>
          <w:rFonts w:cs="Arial" w:asciiTheme="minorEastAsia" w:hAnsiTheme="minorEastAsia"/>
          <w:b/>
          <w:kern w:val="0"/>
          <w:sz w:val="32"/>
          <w:szCs w:val="32"/>
        </w:rPr>
      </w:pPr>
      <w:r>
        <w:rPr>
          <w:rFonts w:hint="eastAsia" w:cs="Arial" w:asciiTheme="minorEastAsia" w:hAnsiTheme="minorEastAsia"/>
          <w:b/>
          <w:kern w:val="0"/>
          <w:sz w:val="32"/>
          <w:szCs w:val="32"/>
        </w:rPr>
        <w:t>招标条件</w:t>
      </w:r>
    </w:p>
    <w:p w14:paraId="69CC205E">
      <w:pPr>
        <w:pStyle w:val="19"/>
        <w:numPr>
          <w:ilvl w:val="0"/>
          <w:numId w:val="2"/>
        </w:numPr>
        <w:spacing w:line="360" w:lineRule="auto"/>
        <w:ind w:left="0" w:firstLine="0" w:firstLineChars="0"/>
        <w:rPr>
          <w:rFonts w:asciiTheme="minorEastAsia" w:hAnsiTheme="minorEastAsia"/>
          <w:sz w:val="24"/>
          <w:szCs w:val="24"/>
        </w:rPr>
      </w:pPr>
      <w:bookmarkStart w:id="0" w:name="_Toc79576674"/>
      <w:bookmarkEnd w:id="0"/>
      <w:bookmarkStart w:id="1" w:name="_Toc389065123"/>
      <w:bookmarkEnd w:id="1"/>
      <w:bookmarkStart w:id="2" w:name="_Toc12609203"/>
      <w:bookmarkEnd w:id="2"/>
      <w:bookmarkStart w:id="3" w:name="_Toc407135050"/>
      <w:r>
        <w:rPr>
          <w:rFonts w:hint="eastAsia" w:asciiTheme="minorEastAsia" w:hAnsiTheme="minorEastAsia"/>
          <w:sz w:val="24"/>
          <w:szCs w:val="24"/>
        </w:rPr>
        <w:t>供应商必须符合但不限于《中华人民共和国政府采购法》第二十二条要求；</w:t>
      </w:r>
    </w:p>
    <w:p w14:paraId="528CD830">
      <w:pPr>
        <w:pStyle w:val="19"/>
        <w:numPr>
          <w:ilvl w:val="0"/>
          <w:numId w:val="2"/>
        </w:numPr>
        <w:spacing w:line="360" w:lineRule="auto"/>
        <w:ind w:left="0" w:firstLine="0" w:firstLineChars="0"/>
        <w:rPr>
          <w:rFonts w:asciiTheme="minorEastAsia" w:hAnsiTheme="minorEastAsia"/>
          <w:sz w:val="24"/>
          <w:szCs w:val="24"/>
        </w:rPr>
      </w:pPr>
      <w:r>
        <w:rPr>
          <w:rFonts w:hint="eastAsia" w:asciiTheme="minorEastAsia" w:hAnsiTheme="minorEastAsia"/>
          <w:sz w:val="24"/>
          <w:szCs w:val="24"/>
        </w:rPr>
        <w:t>如果投标单位作为境外生产企业的中国总代理进行投标，则应提供代理授权书；</w:t>
      </w:r>
    </w:p>
    <w:p w14:paraId="4910D174">
      <w:pPr>
        <w:pStyle w:val="19"/>
        <w:numPr>
          <w:ilvl w:val="0"/>
          <w:numId w:val="2"/>
        </w:numPr>
        <w:spacing w:line="360" w:lineRule="auto"/>
        <w:ind w:left="0" w:firstLine="0" w:firstLineChars="0"/>
        <w:rPr>
          <w:rFonts w:asciiTheme="minorEastAsia" w:hAnsiTheme="minorEastAsia"/>
          <w:sz w:val="24"/>
          <w:szCs w:val="24"/>
        </w:rPr>
      </w:pPr>
      <w:r>
        <w:rPr>
          <w:rFonts w:hint="eastAsia" w:asciiTheme="minorEastAsia" w:hAnsiTheme="minorEastAsia"/>
          <w:sz w:val="24"/>
          <w:szCs w:val="24"/>
        </w:rPr>
        <w:t>供应商在“信用中国”（www.creditchina.gov.cn）网站中未被列入失信被执行人、重大税收违法案件当事人名单、不限于政府采购严重违法失信行为记录名单。</w:t>
      </w:r>
    </w:p>
    <w:p w14:paraId="0333B802">
      <w:pPr>
        <w:spacing w:line="360" w:lineRule="auto"/>
        <w:ind w:firstLine="480"/>
        <w:rPr>
          <w:rFonts w:asciiTheme="minorEastAsia" w:hAnsiTheme="minorEastAsia"/>
          <w:sz w:val="28"/>
          <w:szCs w:val="28"/>
        </w:rPr>
      </w:pPr>
    </w:p>
    <w:bookmarkEnd w:id="3"/>
    <w:p w14:paraId="38A519F7">
      <w:pPr>
        <w:pStyle w:val="19"/>
        <w:widowControl/>
        <w:numPr>
          <w:ilvl w:val="0"/>
          <w:numId w:val="1"/>
        </w:numPr>
        <w:shd w:val="clear" w:color="auto" w:fill="FFFFFF"/>
        <w:spacing w:line="360" w:lineRule="auto"/>
        <w:ind w:firstLineChars="0"/>
        <w:outlineLvl w:val="1"/>
        <w:rPr>
          <w:rFonts w:cs="Arial" w:asciiTheme="minorEastAsia" w:hAnsiTheme="minorEastAsia"/>
          <w:b/>
          <w:kern w:val="0"/>
          <w:sz w:val="32"/>
          <w:szCs w:val="32"/>
        </w:rPr>
      </w:pPr>
      <w:r>
        <w:rPr>
          <w:rFonts w:hint="eastAsia" w:cs="Arial" w:asciiTheme="minorEastAsia" w:hAnsiTheme="minorEastAsia"/>
          <w:b/>
          <w:kern w:val="0"/>
          <w:sz w:val="32"/>
          <w:szCs w:val="32"/>
        </w:rPr>
        <w:t>项目基本情况</w:t>
      </w:r>
    </w:p>
    <w:p w14:paraId="4CDE35E3">
      <w:pPr>
        <w:pStyle w:val="19"/>
        <w:numPr>
          <w:ilvl w:val="0"/>
          <w:numId w:val="3"/>
        </w:numPr>
        <w:spacing w:line="360" w:lineRule="auto"/>
        <w:ind w:left="426" w:right="-143" w:rightChars="-68" w:hanging="426" w:firstLineChars="0"/>
        <w:rPr>
          <w:rFonts w:asciiTheme="minorEastAsia" w:hAnsiTheme="minorEastAsia"/>
          <w:sz w:val="24"/>
          <w:szCs w:val="24"/>
        </w:rPr>
      </w:pPr>
      <w:r>
        <w:rPr>
          <w:rFonts w:hint="eastAsia" w:asciiTheme="minorEastAsia" w:hAnsiTheme="minorEastAsia"/>
          <w:sz w:val="24"/>
          <w:szCs w:val="24"/>
        </w:rPr>
        <w:t>项目名称：2025世纪游轮</w:t>
      </w:r>
      <w:r>
        <w:rPr>
          <w:rFonts w:hint="eastAsia" w:asciiTheme="minorEastAsia" w:hAnsiTheme="minorEastAsia"/>
          <w:color w:val="0000FF"/>
          <w:sz w:val="24"/>
          <w:szCs w:val="24"/>
          <w:lang w:val="en-US" w:eastAsia="zh-CN"/>
        </w:rPr>
        <w:t>暑期亲子季</w:t>
      </w:r>
      <w:r>
        <w:rPr>
          <w:rFonts w:hint="eastAsia" w:asciiTheme="minorEastAsia" w:hAnsiTheme="minorEastAsia"/>
          <w:sz w:val="24"/>
          <w:szCs w:val="24"/>
        </w:rPr>
        <w:t>主题活动</w:t>
      </w:r>
    </w:p>
    <w:p w14:paraId="6B22BAF6">
      <w:pPr>
        <w:pStyle w:val="19"/>
        <w:numPr>
          <w:ilvl w:val="0"/>
          <w:numId w:val="3"/>
        </w:numPr>
        <w:spacing w:line="360" w:lineRule="auto"/>
        <w:ind w:left="426" w:right="-143" w:rightChars="-68" w:hanging="426" w:firstLineChars="0"/>
        <w:rPr>
          <w:rFonts w:asciiTheme="minorEastAsia" w:hAnsiTheme="minorEastAsia"/>
          <w:sz w:val="24"/>
          <w:szCs w:val="24"/>
        </w:rPr>
      </w:pPr>
      <w:r>
        <w:rPr>
          <w:rFonts w:hint="eastAsia" w:asciiTheme="minorEastAsia" w:hAnsiTheme="minorEastAsia"/>
          <w:sz w:val="24"/>
          <w:szCs w:val="24"/>
          <w:lang w:val="en-US" w:eastAsia="zh-CN"/>
        </w:rPr>
        <w:t>项目简介：</w:t>
      </w:r>
      <w:r>
        <w:rPr>
          <w:rFonts w:hint="eastAsia" w:asciiTheme="minorEastAsia" w:hAnsiTheme="minorEastAsia"/>
          <w:color w:val="0000FF"/>
          <w:sz w:val="24"/>
          <w:szCs w:val="24"/>
          <w:lang w:val="en-US" w:eastAsia="zh-CN"/>
        </w:rPr>
        <w:t>为布局高端亲子市场和品质银发市场，构建差异化壁垒，世纪游轮启动品牌升级战略，联合《中国国家地理》，以“探索自然人文的移动美学空间”为定位，线下打造游轮部分专项策划、主题场景美陈，提供在船游客（主要针对亲子家庭和银发群体）的互动体验活动。</w:t>
      </w:r>
    </w:p>
    <w:p w14:paraId="6EA5BB2A">
      <w:pPr>
        <w:pStyle w:val="19"/>
        <w:numPr>
          <w:ilvl w:val="0"/>
          <w:numId w:val="3"/>
        </w:numPr>
        <w:spacing w:line="360" w:lineRule="auto"/>
        <w:ind w:left="426" w:right="-143" w:rightChars="-68" w:hanging="426" w:firstLineChars="0"/>
        <w:rPr>
          <w:rFonts w:asciiTheme="minorEastAsia" w:hAnsiTheme="minorEastAsia"/>
          <w:sz w:val="24"/>
          <w:szCs w:val="24"/>
        </w:rPr>
      </w:pPr>
      <w:r>
        <w:rPr>
          <w:rFonts w:hint="eastAsia" w:asciiTheme="minorEastAsia" w:hAnsiTheme="minorEastAsia"/>
          <w:sz w:val="24"/>
          <w:szCs w:val="24"/>
          <w:lang w:val="en-US" w:eastAsia="zh-CN"/>
        </w:rPr>
        <w:t>项目最高限标价</w:t>
      </w:r>
      <w:r>
        <w:rPr>
          <w:rFonts w:hint="eastAsia" w:asciiTheme="minorEastAsia" w:hAnsiTheme="minorEastAsia"/>
          <w:sz w:val="24"/>
          <w:szCs w:val="24"/>
        </w:rPr>
        <w:t>：</w:t>
      </w:r>
      <w:r>
        <w:rPr>
          <w:rFonts w:hint="eastAsia" w:asciiTheme="minorEastAsia" w:hAnsiTheme="minorEastAsia"/>
          <w:color w:val="0000FF"/>
          <w:sz w:val="24"/>
          <w:szCs w:val="24"/>
          <w:highlight w:val="none"/>
          <w:lang w:val="en-US" w:eastAsia="zh-CN"/>
        </w:rPr>
        <w:t>30万元</w:t>
      </w:r>
    </w:p>
    <w:p w14:paraId="0D48A6BD">
      <w:pPr>
        <w:pStyle w:val="19"/>
        <w:numPr>
          <w:ilvl w:val="0"/>
          <w:numId w:val="3"/>
        </w:numPr>
        <w:spacing w:line="360" w:lineRule="auto"/>
        <w:ind w:left="426" w:right="-143" w:rightChars="-68" w:hanging="426" w:firstLineChars="0"/>
        <w:rPr>
          <w:rFonts w:asciiTheme="minorEastAsia" w:hAnsiTheme="minorEastAsia"/>
          <w:sz w:val="24"/>
          <w:szCs w:val="24"/>
        </w:rPr>
      </w:pPr>
      <w:r>
        <w:rPr>
          <w:rFonts w:hint="eastAsia" w:asciiTheme="minorEastAsia" w:hAnsiTheme="minorEastAsia"/>
          <w:sz w:val="24"/>
          <w:szCs w:val="24"/>
        </w:rPr>
        <w:t>合同履行期限：以实际签订的项目合同为准。</w:t>
      </w:r>
    </w:p>
    <w:p w14:paraId="392CD059">
      <w:pPr>
        <w:pStyle w:val="19"/>
        <w:numPr>
          <w:ilvl w:val="0"/>
          <w:numId w:val="3"/>
        </w:numPr>
        <w:spacing w:line="360" w:lineRule="auto"/>
        <w:ind w:left="426" w:right="-143" w:rightChars="-68" w:hanging="426" w:firstLineChars="0"/>
        <w:rPr>
          <w:rFonts w:asciiTheme="minorEastAsia" w:hAnsiTheme="minorEastAsia"/>
          <w:sz w:val="24"/>
          <w:szCs w:val="24"/>
        </w:rPr>
      </w:pPr>
      <w:r>
        <w:rPr>
          <w:rFonts w:hint="eastAsia" w:asciiTheme="minorEastAsia" w:hAnsiTheme="minorEastAsia"/>
          <w:sz w:val="24"/>
          <w:szCs w:val="24"/>
        </w:rPr>
        <w:t>项目需求：负责2025世纪游轮</w:t>
      </w:r>
      <w:r>
        <w:rPr>
          <w:rFonts w:hint="eastAsia" w:asciiTheme="minorEastAsia" w:hAnsiTheme="minorEastAsia"/>
          <w:color w:val="0000FF"/>
          <w:sz w:val="24"/>
          <w:szCs w:val="24"/>
          <w:lang w:val="en-US" w:eastAsia="zh-CN"/>
        </w:rPr>
        <w:t>暑期亲子季</w:t>
      </w:r>
      <w:r>
        <w:rPr>
          <w:rFonts w:hint="eastAsia" w:asciiTheme="minorEastAsia" w:hAnsiTheme="minorEastAsia"/>
          <w:color w:val="0000FF"/>
          <w:sz w:val="24"/>
          <w:szCs w:val="24"/>
          <w:lang w:eastAsia="zh-CN"/>
        </w:rPr>
        <w:t>美陈装饰及互动体验</w:t>
      </w:r>
      <w:r>
        <w:rPr>
          <w:rFonts w:hint="eastAsia" w:asciiTheme="minorEastAsia" w:hAnsiTheme="minorEastAsia"/>
          <w:color w:val="0000FF"/>
          <w:sz w:val="24"/>
          <w:szCs w:val="24"/>
          <w:lang w:val="en-US" w:eastAsia="zh-CN"/>
        </w:rPr>
        <w:t>打造</w:t>
      </w:r>
      <w:r>
        <w:rPr>
          <w:rFonts w:hint="eastAsia" w:asciiTheme="minorEastAsia" w:hAnsiTheme="minorEastAsia"/>
          <w:sz w:val="24"/>
          <w:szCs w:val="24"/>
        </w:rPr>
        <w:t>，具体需求详见</w:t>
      </w:r>
      <w:r>
        <w:rPr>
          <w:rFonts w:hint="eastAsia" w:asciiTheme="minorEastAsia" w:hAnsiTheme="minorEastAsia"/>
          <w:b/>
          <w:bCs/>
          <w:sz w:val="24"/>
          <w:szCs w:val="24"/>
          <w:lang w:eastAsia="zh-CN"/>
        </w:rPr>
        <w:t>《</w:t>
      </w:r>
      <w:r>
        <w:rPr>
          <w:rFonts w:hint="eastAsia" w:asciiTheme="minorEastAsia" w:hAnsiTheme="minorEastAsia"/>
          <w:b/>
          <w:bCs/>
          <w:sz w:val="24"/>
          <w:szCs w:val="24"/>
        </w:rPr>
        <w:t>附件一</w:t>
      </w:r>
      <w:r>
        <w:rPr>
          <w:rFonts w:hint="eastAsia" w:asciiTheme="minorEastAsia" w:hAnsiTheme="minorEastAsia"/>
          <w:b/>
          <w:bCs/>
          <w:sz w:val="24"/>
          <w:szCs w:val="24"/>
          <w:lang w:eastAsia="zh-CN"/>
        </w:rPr>
        <w:t>：</w:t>
      </w:r>
      <w:r>
        <w:rPr>
          <w:rFonts w:hint="eastAsia" w:asciiTheme="minorEastAsia" w:hAnsiTheme="minorEastAsia"/>
          <w:b/>
          <w:bCs/>
          <w:sz w:val="24"/>
          <w:szCs w:val="24"/>
          <w:lang w:val="en-US" w:eastAsia="zh-CN"/>
        </w:rPr>
        <w:t>项目服务要求</w:t>
      </w:r>
      <w:r>
        <w:rPr>
          <w:rFonts w:hint="eastAsia" w:asciiTheme="minorEastAsia" w:hAnsiTheme="minorEastAsia"/>
          <w:b/>
          <w:bCs/>
          <w:sz w:val="24"/>
          <w:szCs w:val="24"/>
          <w:lang w:eastAsia="zh-CN"/>
        </w:rPr>
        <w:t>》</w:t>
      </w:r>
      <w:r>
        <w:rPr>
          <w:rFonts w:hint="eastAsia" w:asciiTheme="minorEastAsia" w:hAnsiTheme="minorEastAsia"/>
          <w:sz w:val="24"/>
          <w:szCs w:val="24"/>
        </w:rPr>
        <w:t>。</w:t>
      </w:r>
    </w:p>
    <w:p w14:paraId="6D73483A">
      <w:pPr>
        <w:pStyle w:val="19"/>
        <w:numPr>
          <w:ilvl w:val="0"/>
          <w:numId w:val="3"/>
        </w:numPr>
        <w:spacing w:line="360" w:lineRule="auto"/>
        <w:ind w:left="426" w:right="-143" w:rightChars="-68" w:hanging="426" w:firstLineChars="0"/>
        <w:rPr>
          <w:rFonts w:asciiTheme="minorEastAsia" w:hAnsiTheme="minorEastAsia"/>
          <w:sz w:val="24"/>
          <w:szCs w:val="24"/>
        </w:rPr>
      </w:pPr>
      <w:r>
        <w:rPr>
          <w:rFonts w:hint="eastAsia" w:asciiTheme="minorEastAsia" w:hAnsiTheme="minorEastAsia"/>
          <w:sz w:val="24"/>
          <w:szCs w:val="24"/>
        </w:rPr>
        <w:t>本项目不接受联合体投标</w:t>
      </w:r>
      <w:r>
        <w:rPr>
          <w:rFonts w:hint="eastAsia" w:asciiTheme="minorEastAsia" w:hAnsiTheme="minorEastAsia"/>
          <w:sz w:val="24"/>
          <w:szCs w:val="24"/>
          <w:lang w:val="en-US" w:eastAsia="zh-CN"/>
        </w:rPr>
        <w:t>及项目转包</w:t>
      </w:r>
      <w:r>
        <w:rPr>
          <w:rFonts w:hint="eastAsia" w:asciiTheme="minorEastAsia" w:hAnsiTheme="minorEastAsia"/>
          <w:sz w:val="24"/>
          <w:szCs w:val="24"/>
        </w:rPr>
        <w:t>。</w:t>
      </w:r>
    </w:p>
    <w:p w14:paraId="2179A5B4">
      <w:pPr>
        <w:pStyle w:val="19"/>
        <w:spacing w:line="360" w:lineRule="auto"/>
        <w:ind w:left="426" w:right="-143" w:rightChars="-68" w:firstLine="0" w:firstLineChars="0"/>
        <w:rPr>
          <w:rFonts w:asciiTheme="minorEastAsia" w:hAnsiTheme="minorEastAsia"/>
          <w:sz w:val="24"/>
          <w:szCs w:val="24"/>
        </w:rPr>
      </w:pPr>
    </w:p>
    <w:p w14:paraId="3276686C">
      <w:pPr>
        <w:pStyle w:val="19"/>
        <w:widowControl/>
        <w:numPr>
          <w:ilvl w:val="0"/>
          <w:numId w:val="1"/>
        </w:numPr>
        <w:shd w:val="clear" w:color="auto" w:fill="FFFFFF"/>
        <w:spacing w:line="360" w:lineRule="auto"/>
        <w:ind w:firstLineChars="0"/>
        <w:outlineLvl w:val="1"/>
        <w:rPr>
          <w:rFonts w:cs="Arial" w:asciiTheme="minorEastAsia" w:hAnsiTheme="minorEastAsia"/>
          <w:b/>
          <w:kern w:val="0"/>
          <w:sz w:val="32"/>
          <w:szCs w:val="32"/>
        </w:rPr>
      </w:pPr>
      <w:bookmarkStart w:id="4" w:name="_Toc79576675"/>
      <w:bookmarkEnd w:id="4"/>
      <w:bookmarkStart w:id="5" w:name="_Toc407135051"/>
      <w:bookmarkEnd w:id="5"/>
      <w:bookmarkStart w:id="6" w:name="_Toc12609204"/>
      <w:bookmarkEnd w:id="6"/>
      <w:r>
        <w:rPr>
          <w:rFonts w:hint="eastAsia" w:cs="Arial" w:asciiTheme="minorEastAsia" w:hAnsiTheme="minorEastAsia"/>
          <w:b/>
          <w:kern w:val="0"/>
          <w:sz w:val="32"/>
          <w:szCs w:val="32"/>
        </w:rPr>
        <w:t>投标人资格要求</w:t>
      </w:r>
    </w:p>
    <w:p w14:paraId="06D13009">
      <w:pPr>
        <w:pStyle w:val="19"/>
        <w:numPr>
          <w:ilvl w:val="0"/>
          <w:numId w:val="4"/>
        </w:numPr>
        <w:spacing w:line="360" w:lineRule="auto"/>
        <w:ind w:left="426" w:right="-143" w:rightChars="-68" w:hanging="426" w:firstLineChars="0"/>
        <w:rPr>
          <w:rFonts w:asciiTheme="minorEastAsia" w:hAnsiTheme="minorEastAsia"/>
          <w:sz w:val="24"/>
          <w:szCs w:val="24"/>
        </w:rPr>
      </w:pPr>
      <w:r>
        <w:rPr>
          <w:rFonts w:hint="eastAsia" w:asciiTheme="minorEastAsia" w:hAnsiTheme="minorEastAsia"/>
          <w:sz w:val="24"/>
          <w:szCs w:val="24"/>
        </w:rPr>
        <w:t>具有独立承担民事责任的能力</w:t>
      </w:r>
      <w:r>
        <w:rPr>
          <w:rFonts w:hint="eastAsia" w:asciiTheme="minorEastAsia" w:hAnsiTheme="minorEastAsia"/>
          <w:color w:val="auto"/>
          <w:sz w:val="24"/>
          <w:szCs w:val="24"/>
          <w:lang w:eastAsia="zh-CN"/>
        </w:rPr>
        <w:t xml:space="preserve"> (营业执照、纳税人资质、注册资本及认缴实缴等)</w:t>
      </w:r>
      <w:r>
        <w:rPr>
          <w:rFonts w:hint="eastAsia" w:asciiTheme="minorEastAsia" w:hAnsiTheme="minorEastAsia"/>
          <w:sz w:val="24"/>
          <w:szCs w:val="24"/>
        </w:rPr>
        <w:t>；</w:t>
      </w:r>
    </w:p>
    <w:p w14:paraId="4E13B591">
      <w:pPr>
        <w:pStyle w:val="19"/>
        <w:numPr>
          <w:ilvl w:val="0"/>
          <w:numId w:val="4"/>
        </w:numPr>
        <w:spacing w:line="360" w:lineRule="auto"/>
        <w:ind w:left="0" w:right="-143" w:rightChars="-68" w:firstLine="0" w:firstLineChars="0"/>
        <w:rPr>
          <w:rFonts w:asciiTheme="minorEastAsia" w:hAnsiTheme="minorEastAsia"/>
          <w:sz w:val="24"/>
          <w:szCs w:val="24"/>
        </w:rPr>
      </w:pPr>
      <w:r>
        <w:rPr>
          <w:rFonts w:hint="eastAsia" w:asciiTheme="minorEastAsia" w:hAnsiTheme="minorEastAsia"/>
          <w:sz w:val="24"/>
          <w:szCs w:val="24"/>
        </w:rPr>
        <w:t>具有履行合同所必须的设备和专业技术能力；</w:t>
      </w:r>
    </w:p>
    <w:p w14:paraId="1E9C1987">
      <w:pPr>
        <w:pStyle w:val="19"/>
        <w:numPr>
          <w:ilvl w:val="0"/>
          <w:numId w:val="4"/>
        </w:numPr>
        <w:spacing w:line="360" w:lineRule="auto"/>
        <w:ind w:left="0" w:right="-143" w:rightChars="-68" w:firstLine="0" w:firstLineChars="0"/>
        <w:rPr>
          <w:rFonts w:asciiTheme="minorEastAsia" w:hAnsiTheme="minorEastAsia"/>
          <w:sz w:val="24"/>
          <w:szCs w:val="24"/>
        </w:rPr>
      </w:pPr>
      <w:r>
        <w:rPr>
          <w:rFonts w:hint="eastAsia" w:asciiTheme="minorEastAsia" w:hAnsiTheme="minorEastAsia"/>
          <w:sz w:val="24"/>
          <w:szCs w:val="24"/>
        </w:rPr>
        <w:t>有依法缴纳税收和社会保障资金的良好记录；</w:t>
      </w:r>
    </w:p>
    <w:p w14:paraId="3B8754F0">
      <w:pPr>
        <w:pStyle w:val="19"/>
        <w:numPr>
          <w:ilvl w:val="0"/>
          <w:numId w:val="4"/>
        </w:numPr>
        <w:spacing w:line="360" w:lineRule="auto"/>
        <w:ind w:left="0" w:right="-143" w:rightChars="-68" w:firstLine="0" w:firstLineChars="0"/>
        <w:rPr>
          <w:rFonts w:asciiTheme="minorEastAsia" w:hAnsiTheme="minorEastAsia"/>
          <w:sz w:val="24"/>
          <w:szCs w:val="24"/>
        </w:rPr>
      </w:pPr>
      <w:r>
        <w:rPr>
          <w:rFonts w:hint="eastAsia" w:asciiTheme="minorEastAsia" w:hAnsiTheme="minorEastAsia"/>
          <w:sz w:val="24"/>
          <w:szCs w:val="24"/>
        </w:rPr>
        <w:t>公司成立两年及以上，提供增值税专用发票；</w:t>
      </w:r>
    </w:p>
    <w:p w14:paraId="28FE7573">
      <w:pPr>
        <w:pStyle w:val="19"/>
        <w:numPr>
          <w:ilvl w:val="0"/>
          <w:numId w:val="4"/>
        </w:numPr>
        <w:spacing w:line="360" w:lineRule="auto"/>
        <w:ind w:left="0" w:right="-143" w:rightChars="-68" w:firstLine="0" w:firstLineChars="0"/>
        <w:rPr>
          <w:rFonts w:asciiTheme="minorEastAsia" w:hAnsiTheme="minorEastAsia"/>
          <w:sz w:val="24"/>
          <w:szCs w:val="24"/>
        </w:rPr>
      </w:pPr>
      <w:r>
        <w:rPr>
          <w:rFonts w:hint="eastAsia" w:asciiTheme="minorEastAsia" w:hAnsiTheme="minorEastAsia"/>
          <w:sz w:val="24"/>
          <w:szCs w:val="24"/>
        </w:rPr>
        <w:t>过去三年在企业经营中没有重大违法记录及民事纠纷；</w:t>
      </w:r>
    </w:p>
    <w:p w14:paraId="3BCB671A">
      <w:pPr>
        <w:pStyle w:val="19"/>
        <w:numPr>
          <w:ilvl w:val="0"/>
          <w:numId w:val="4"/>
        </w:numPr>
        <w:spacing w:line="360" w:lineRule="auto"/>
        <w:ind w:left="0" w:right="-143" w:rightChars="-68" w:firstLine="0" w:firstLineChars="0"/>
        <w:rPr>
          <w:rFonts w:asciiTheme="minorEastAsia" w:hAnsiTheme="minorEastAsia"/>
          <w:sz w:val="24"/>
          <w:szCs w:val="24"/>
        </w:rPr>
      </w:pPr>
      <w:r>
        <w:rPr>
          <w:rFonts w:hint="eastAsia" w:asciiTheme="minorEastAsia" w:hAnsiTheme="minorEastAsia"/>
          <w:sz w:val="24"/>
          <w:szCs w:val="24"/>
        </w:rPr>
        <w:t>投标人提交真实的本公司业绩情况及成功案例</w:t>
      </w:r>
      <w:r>
        <w:rPr>
          <w:rFonts w:hint="eastAsia" w:asciiTheme="minorEastAsia" w:hAnsiTheme="minorEastAsia"/>
          <w:sz w:val="24"/>
          <w:szCs w:val="24"/>
          <w:lang w:eastAsia="zh-CN"/>
        </w:rPr>
        <w:t>；</w:t>
      </w:r>
    </w:p>
    <w:p w14:paraId="2740BE00">
      <w:pPr>
        <w:pStyle w:val="19"/>
        <w:numPr>
          <w:ilvl w:val="0"/>
          <w:numId w:val="4"/>
        </w:numPr>
        <w:spacing w:line="360" w:lineRule="auto"/>
        <w:ind w:left="0" w:right="-143" w:rightChars="-68" w:firstLine="0" w:firstLineChars="0"/>
        <w:rPr>
          <w:rFonts w:asciiTheme="minorEastAsia" w:hAnsiTheme="minorEastAsia"/>
          <w:sz w:val="24"/>
          <w:szCs w:val="24"/>
        </w:rPr>
      </w:pPr>
      <w:r>
        <w:rPr>
          <w:rFonts w:hint="eastAsia" w:asciiTheme="minorEastAsia" w:hAnsiTheme="minorEastAsia"/>
          <w:sz w:val="24"/>
          <w:szCs w:val="24"/>
        </w:rPr>
        <w:t>根据最高人民法院等9部门</w:t>
      </w:r>
      <w:r>
        <w:rPr>
          <w:rFonts w:hint="eastAsia" w:asciiTheme="minorEastAsia" w:hAnsiTheme="minorEastAsia"/>
          <w:sz w:val="24"/>
          <w:szCs w:val="24"/>
          <w:lang w:val="en-US" w:eastAsia="zh-CN"/>
        </w:rPr>
        <w:t xml:space="preserve"> </w:t>
      </w:r>
      <w:r>
        <w:rPr>
          <w:rFonts w:hint="eastAsia" w:asciiTheme="minorEastAsia" w:hAnsiTheme="minorEastAsia"/>
          <w:sz w:val="24"/>
          <w:szCs w:val="24"/>
        </w:rPr>
        <w:t>《关于在招标投标活动中对失信被执行人实施联合惩戒的通知》（法〔2016〕285号）规定，投标人不得为失信被执行人（以评标阶段通过“信用中国”网站（www.creditchina.gov.cn）查询的结果为准）</w:t>
      </w:r>
      <w:bookmarkStart w:id="7" w:name="_Toc59873786"/>
      <w:bookmarkStart w:id="8" w:name="_Toc59873842"/>
      <w:bookmarkStart w:id="9" w:name="_Toc56572780"/>
      <w:bookmarkStart w:id="10" w:name="_Toc59855917"/>
      <w:bookmarkStart w:id="11" w:name="_Toc79576676"/>
      <w:r>
        <w:rPr>
          <w:rFonts w:hint="eastAsia" w:asciiTheme="minorEastAsia" w:hAnsiTheme="minorEastAsia"/>
          <w:sz w:val="24"/>
          <w:szCs w:val="24"/>
          <w:lang w:eastAsia="zh-CN"/>
        </w:rPr>
        <w:t>；</w:t>
      </w:r>
    </w:p>
    <w:p w14:paraId="7E574461">
      <w:pPr>
        <w:widowControl/>
        <w:shd w:val="clear" w:color="auto" w:fill="FFFFFF"/>
        <w:spacing w:line="360" w:lineRule="auto"/>
        <w:jc w:val="left"/>
        <w:rPr>
          <w:rFonts w:cs="Arial" w:asciiTheme="minorEastAsia" w:hAnsiTheme="minorEastAsia"/>
          <w:kern w:val="0"/>
          <w:sz w:val="28"/>
          <w:szCs w:val="28"/>
        </w:rPr>
      </w:pPr>
    </w:p>
    <w:p w14:paraId="3940000E">
      <w:pPr>
        <w:pStyle w:val="19"/>
        <w:widowControl/>
        <w:numPr>
          <w:ilvl w:val="0"/>
          <w:numId w:val="1"/>
        </w:numPr>
        <w:shd w:val="clear" w:color="auto" w:fill="FFFFFF"/>
        <w:spacing w:line="360" w:lineRule="auto"/>
        <w:ind w:firstLineChars="0"/>
        <w:jc w:val="left"/>
        <w:outlineLvl w:val="1"/>
        <w:rPr>
          <w:rFonts w:cs="Arial" w:asciiTheme="minorEastAsia" w:hAnsiTheme="minorEastAsia"/>
          <w:b/>
          <w:kern w:val="0"/>
          <w:sz w:val="32"/>
          <w:szCs w:val="32"/>
        </w:rPr>
      </w:pPr>
      <w:r>
        <w:rPr>
          <w:rFonts w:hint="eastAsia" w:cs="Arial" w:asciiTheme="minorEastAsia" w:hAnsiTheme="minorEastAsia"/>
          <w:b/>
          <w:kern w:val="0"/>
          <w:sz w:val="32"/>
          <w:szCs w:val="32"/>
        </w:rPr>
        <w:t>投标文件的组成</w:t>
      </w:r>
      <w:bookmarkEnd w:id="7"/>
      <w:bookmarkEnd w:id="8"/>
      <w:bookmarkEnd w:id="9"/>
      <w:bookmarkEnd w:id="10"/>
    </w:p>
    <w:p w14:paraId="3958A16B">
      <w:pPr>
        <w:spacing w:line="360" w:lineRule="auto"/>
        <w:ind w:firstLine="424" w:firstLineChars="177"/>
        <w:rPr>
          <w:rFonts w:asciiTheme="minorEastAsia" w:hAnsiTheme="minorEastAsia"/>
          <w:sz w:val="24"/>
          <w:szCs w:val="24"/>
        </w:rPr>
      </w:pPr>
      <w:r>
        <w:rPr>
          <w:rFonts w:hint="eastAsia" w:asciiTheme="minorEastAsia" w:hAnsiTheme="minorEastAsia"/>
          <w:sz w:val="24"/>
          <w:szCs w:val="24"/>
        </w:rPr>
        <w:t>投标文件由技术资信文件、报价文件二部分组成</w:t>
      </w:r>
      <w:r>
        <w:rPr>
          <w:rFonts w:hint="eastAsia" w:asciiTheme="minorEastAsia" w:hAnsiTheme="minorEastAsia"/>
          <w:color w:val="auto"/>
          <w:sz w:val="24"/>
          <w:szCs w:val="24"/>
          <w:lang w:eastAsia="zh-CN"/>
        </w:rPr>
        <w:t>，均需加盖鲜章</w:t>
      </w:r>
      <w:r>
        <w:rPr>
          <w:rFonts w:hint="eastAsia" w:asciiTheme="minorEastAsia" w:hAnsiTheme="minorEastAsia"/>
          <w:color w:val="auto"/>
          <w:sz w:val="24"/>
          <w:szCs w:val="24"/>
        </w:rPr>
        <w:t>。</w:t>
      </w:r>
    </w:p>
    <w:p w14:paraId="46418D58">
      <w:pPr>
        <w:pStyle w:val="19"/>
        <w:numPr>
          <w:ilvl w:val="0"/>
          <w:numId w:val="5"/>
        </w:numPr>
        <w:spacing w:line="360" w:lineRule="auto"/>
        <w:ind w:firstLineChars="0"/>
        <w:rPr>
          <w:rFonts w:cs="宋体" w:asciiTheme="minorEastAsia" w:hAnsiTheme="minorEastAsia"/>
          <w:b/>
          <w:bCs/>
          <w:sz w:val="24"/>
        </w:rPr>
      </w:pPr>
      <w:r>
        <w:rPr>
          <w:rFonts w:hint="eastAsia" w:cs="宋体" w:asciiTheme="minorEastAsia" w:hAnsiTheme="minorEastAsia"/>
          <w:b/>
          <w:bCs/>
          <w:sz w:val="24"/>
        </w:rPr>
        <w:t>技术资信文件（不含报价）：</w:t>
      </w:r>
    </w:p>
    <w:p w14:paraId="0F09A4B7">
      <w:pPr>
        <w:pStyle w:val="19"/>
        <w:numPr>
          <w:ilvl w:val="0"/>
          <w:numId w:val="6"/>
        </w:numPr>
        <w:snapToGrid w:val="0"/>
        <w:spacing w:line="360" w:lineRule="auto"/>
        <w:ind w:firstLine="6" w:firstLineChars="0"/>
        <w:rPr>
          <w:rStyle w:val="24"/>
          <w:rFonts w:cs="宋体" w:asciiTheme="minorEastAsia" w:hAnsiTheme="minorEastAsia"/>
          <w:lang w:val="zh-CN"/>
        </w:rPr>
      </w:pPr>
      <w:r>
        <w:rPr>
          <w:rStyle w:val="24"/>
          <w:rFonts w:hint="eastAsia" w:cs="宋体" w:asciiTheme="minorEastAsia" w:hAnsiTheme="minorEastAsia"/>
          <w:lang w:val="en-US" w:eastAsia="zh-CN"/>
        </w:rPr>
        <w:t>法定代表人授权委托书；</w:t>
      </w:r>
    </w:p>
    <w:p w14:paraId="697A54CA">
      <w:pPr>
        <w:pStyle w:val="19"/>
        <w:numPr>
          <w:ilvl w:val="0"/>
          <w:numId w:val="6"/>
        </w:numPr>
        <w:snapToGrid w:val="0"/>
        <w:spacing w:line="360" w:lineRule="auto"/>
        <w:ind w:firstLine="6" w:firstLineChars="0"/>
        <w:rPr>
          <w:rStyle w:val="24"/>
          <w:rFonts w:cs="宋体" w:asciiTheme="minorEastAsia" w:hAnsiTheme="minorEastAsia"/>
          <w:lang w:val="zh-CN"/>
        </w:rPr>
      </w:pPr>
      <w:r>
        <w:rPr>
          <w:rStyle w:val="24"/>
          <w:rFonts w:hint="eastAsia" w:cs="宋体" w:asciiTheme="minorEastAsia" w:hAnsiTheme="minorEastAsia"/>
          <w:lang w:val="zh-CN"/>
        </w:rPr>
        <w:t>经过工商部门年检合格的企业法人营业执照副本复印件；</w:t>
      </w:r>
    </w:p>
    <w:p w14:paraId="1F650CAA">
      <w:pPr>
        <w:pStyle w:val="19"/>
        <w:numPr>
          <w:ilvl w:val="0"/>
          <w:numId w:val="6"/>
        </w:numPr>
        <w:snapToGrid w:val="0"/>
        <w:spacing w:line="360" w:lineRule="auto"/>
        <w:ind w:firstLine="6" w:firstLineChars="0"/>
        <w:rPr>
          <w:rStyle w:val="24"/>
          <w:rFonts w:cs="宋体" w:asciiTheme="minorEastAsia" w:hAnsiTheme="minorEastAsia"/>
          <w:lang w:val="zh-CN"/>
        </w:rPr>
      </w:pPr>
      <w:r>
        <w:rPr>
          <w:rStyle w:val="24"/>
          <w:rFonts w:hint="eastAsia" w:cs="宋体" w:asciiTheme="minorEastAsia" w:hAnsiTheme="minorEastAsia"/>
          <w:lang w:val="zh-CN"/>
        </w:rPr>
        <w:t>供应商的基本情况介绍及荣誉；</w:t>
      </w:r>
    </w:p>
    <w:p w14:paraId="1E86C01B">
      <w:pPr>
        <w:pStyle w:val="19"/>
        <w:numPr>
          <w:ilvl w:val="0"/>
          <w:numId w:val="6"/>
        </w:numPr>
        <w:snapToGrid w:val="0"/>
        <w:spacing w:line="360" w:lineRule="auto"/>
        <w:ind w:firstLine="6" w:firstLineChars="0"/>
        <w:rPr>
          <w:rStyle w:val="24"/>
          <w:rFonts w:cs="宋体" w:asciiTheme="minorEastAsia" w:hAnsiTheme="minorEastAsia"/>
          <w:lang w:val="zh-CN"/>
        </w:rPr>
      </w:pPr>
      <w:r>
        <w:rPr>
          <w:rStyle w:val="24"/>
          <w:rFonts w:hint="eastAsia" w:cs="宋体" w:asciiTheme="minorEastAsia" w:hAnsiTheme="minorEastAsia"/>
          <w:lang w:val="zh-CN"/>
        </w:rPr>
        <w:t>项目实施方案；</w:t>
      </w:r>
    </w:p>
    <w:p w14:paraId="75A85677">
      <w:pPr>
        <w:pStyle w:val="19"/>
        <w:numPr>
          <w:ilvl w:val="0"/>
          <w:numId w:val="6"/>
        </w:numPr>
        <w:snapToGrid w:val="0"/>
        <w:spacing w:line="360" w:lineRule="auto"/>
        <w:ind w:firstLine="6" w:firstLineChars="0"/>
        <w:rPr>
          <w:rStyle w:val="24"/>
          <w:rFonts w:cs="宋体" w:asciiTheme="minorEastAsia" w:hAnsiTheme="minorEastAsia"/>
          <w:lang w:val="zh-TW"/>
        </w:rPr>
      </w:pPr>
      <w:r>
        <w:rPr>
          <w:rStyle w:val="24"/>
          <w:rFonts w:hint="eastAsia" w:cs="宋体" w:asciiTheme="minorEastAsia" w:hAnsiTheme="minorEastAsia"/>
          <w:lang w:val="zh-CN"/>
        </w:rPr>
        <w:t>同类项目</w:t>
      </w:r>
      <w:r>
        <w:rPr>
          <w:rStyle w:val="24"/>
          <w:rFonts w:hint="eastAsia" w:cs="宋体" w:asciiTheme="minorEastAsia" w:hAnsiTheme="minorEastAsia"/>
          <w:lang w:val="zh-TW"/>
        </w:rPr>
        <w:t>业绩</w:t>
      </w:r>
      <w:r>
        <w:rPr>
          <w:rStyle w:val="24"/>
          <w:rFonts w:hint="eastAsia" w:eastAsia="宋体" w:cs="宋体" w:asciiTheme="minorEastAsia" w:hAnsiTheme="minorEastAsia"/>
          <w:color w:val="auto"/>
          <w:lang w:val="zh-CN"/>
        </w:rPr>
        <w:t>并加盖供应商鲜章</w:t>
      </w:r>
      <w:r>
        <w:rPr>
          <w:rStyle w:val="24"/>
          <w:rFonts w:hint="eastAsia" w:cs="宋体" w:asciiTheme="minorEastAsia" w:hAnsiTheme="minorEastAsia"/>
          <w:lang w:val="zh-TW"/>
        </w:rPr>
        <w:t>；</w:t>
      </w:r>
    </w:p>
    <w:p w14:paraId="20FDC0D3">
      <w:pPr>
        <w:pStyle w:val="19"/>
        <w:numPr>
          <w:ilvl w:val="0"/>
          <w:numId w:val="6"/>
        </w:numPr>
        <w:snapToGrid w:val="0"/>
        <w:spacing w:line="360" w:lineRule="auto"/>
        <w:ind w:firstLine="6" w:firstLineChars="0"/>
        <w:rPr>
          <w:rStyle w:val="24"/>
          <w:rFonts w:cs="宋体" w:asciiTheme="minorEastAsia" w:hAnsiTheme="minorEastAsia"/>
          <w:lang w:val="zh-CN"/>
        </w:rPr>
      </w:pPr>
      <w:r>
        <w:rPr>
          <w:rStyle w:val="24"/>
          <w:rFonts w:hint="eastAsia" w:cs="宋体" w:asciiTheme="minorEastAsia" w:hAnsiTheme="minorEastAsia"/>
          <w:lang w:val="zh-CN"/>
        </w:rPr>
        <w:t>项目进度安排及保证措施；</w:t>
      </w:r>
      <w:r>
        <w:rPr>
          <w:rStyle w:val="24"/>
          <w:rFonts w:cs="宋体" w:asciiTheme="minorEastAsia" w:hAnsiTheme="minorEastAsia"/>
          <w:lang w:val="zh-CN"/>
        </w:rPr>
        <w:t xml:space="preserve"> </w:t>
      </w:r>
    </w:p>
    <w:p w14:paraId="333EAC98">
      <w:pPr>
        <w:pStyle w:val="19"/>
        <w:numPr>
          <w:ilvl w:val="0"/>
          <w:numId w:val="6"/>
        </w:numPr>
        <w:snapToGrid w:val="0"/>
        <w:spacing w:line="360" w:lineRule="auto"/>
        <w:ind w:firstLine="6" w:firstLineChars="0"/>
        <w:rPr>
          <w:rStyle w:val="24"/>
          <w:rFonts w:cs="宋体" w:asciiTheme="minorEastAsia" w:hAnsiTheme="minorEastAsia"/>
          <w:lang w:val="zh-CN"/>
        </w:rPr>
      </w:pPr>
      <w:r>
        <w:rPr>
          <w:rStyle w:val="24"/>
          <w:rFonts w:hint="eastAsia" w:cs="宋体" w:asciiTheme="minorEastAsia" w:hAnsiTheme="minorEastAsia"/>
          <w:lang w:val="zh-CN"/>
        </w:rPr>
        <w:t>评分规则中涉及的所需提供的资料；</w:t>
      </w:r>
    </w:p>
    <w:p w14:paraId="358ED8E8">
      <w:pPr>
        <w:pStyle w:val="19"/>
        <w:numPr>
          <w:ilvl w:val="0"/>
          <w:numId w:val="6"/>
        </w:numPr>
        <w:snapToGrid w:val="0"/>
        <w:spacing w:line="360" w:lineRule="auto"/>
        <w:ind w:firstLine="6" w:firstLineChars="0"/>
        <w:rPr>
          <w:rStyle w:val="24"/>
          <w:rFonts w:cs="宋体" w:asciiTheme="minorEastAsia" w:hAnsiTheme="minorEastAsia"/>
          <w:lang w:val="zh-CN"/>
        </w:rPr>
      </w:pPr>
      <w:r>
        <w:rPr>
          <w:rFonts w:hint="eastAsia" w:ascii="宋体" w:hAnsi="宋体" w:eastAsia="宋体" w:cs="宋体"/>
          <w:sz w:val="24"/>
          <w:szCs w:val="24"/>
          <w:lang w:eastAsia="zh-CN"/>
        </w:rPr>
        <w:t>项目</w:t>
      </w:r>
      <w:r>
        <w:rPr>
          <w:rFonts w:ascii="宋体" w:hAnsi="宋体" w:eastAsia="宋体" w:cs="宋体"/>
          <w:sz w:val="24"/>
          <w:szCs w:val="24"/>
        </w:rPr>
        <w:t>联系人</w:t>
      </w:r>
      <w:r>
        <w:rPr>
          <w:rFonts w:hint="eastAsia" w:ascii="宋体" w:hAnsi="宋体" w:eastAsia="宋体" w:cs="宋体"/>
          <w:sz w:val="24"/>
          <w:szCs w:val="24"/>
          <w:lang w:eastAsia="zh-CN"/>
        </w:rPr>
        <w:t>及联系方式；</w:t>
      </w:r>
    </w:p>
    <w:p w14:paraId="54056DF7">
      <w:pPr>
        <w:pStyle w:val="19"/>
        <w:numPr>
          <w:ilvl w:val="0"/>
          <w:numId w:val="6"/>
        </w:numPr>
        <w:snapToGrid w:val="0"/>
        <w:spacing w:line="360" w:lineRule="auto"/>
        <w:ind w:firstLine="6" w:firstLineChars="0"/>
        <w:rPr>
          <w:rStyle w:val="24"/>
          <w:rFonts w:cs="宋体" w:asciiTheme="minorEastAsia" w:hAnsiTheme="minorEastAsia"/>
          <w:lang w:val="zh-CN"/>
        </w:rPr>
      </w:pPr>
      <w:r>
        <w:rPr>
          <w:rStyle w:val="24"/>
          <w:rFonts w:hint="eastAsia" w:cs="宋体" w:asciiTheme="minorEastAsia" w:hAnsiTheme="minorEastAsia"/>
          <w:lang w:val="zh-CN"/>
        </w:rPr>
        <w:t>供应商需要说明的其他文件。</w:t>
      </w:r>
    </w:p>
    <w:p w14:paraId="7E1204E7">
      <w:pPr>
        <w:pStyle w:val="19"/>
        <w:numPr>
          <w:ilvl w:val="0"/>
          <w:numId w:val="5"/>
        </w:numPr>
        <w:spacing w:line="360" w:lineRule="auto"/>
        <w:ind w:firstLineChars="0"/>
        <w:rPr>
          <w:rFonts w:cs="宋体" w:asciiTheme="minorEastAsia" w:hAnsiTheme="minorEastAsia"/>
          <w:b/>
          <w:bCs/>
          <w:sz w:val="24"/>
        </w:rPr>
      </w:pPr>
      <w:r>
        <w:rPr>
          <w:rFonts w:hint="eastAsia" w:cs="宋体" w:asciiTheme="minorEastAsia" w:hAnsiTheme="minorEastAsia"/>
          <w:b/>
          <w:bCs/>
          <w:sz w:val="24"/>
        </w:rPr>
        <w:t>报价文件：</w:t>
      </w:r>
    </w:p>
    <w:p w14:paraId="2146A977">
      <w:pPr>
        <w:pStyle w:val="19"/>
        <w:numPr>
          <w:ilvl w:val="0"/>
          <w:numId w:val="7"/>
        </w:numPr>
        <w:snapToGrid w:val="0"/>
        <w:spacing w:line="360" w:lineRule="auto"/>
        <w:ind w:firstLine="6" w:firstLineChars="0"/>
        <w:rPr>
          <w:rStyle w:val="24"/>
          <w:rFonts w:asciiTheme="minorEastAsia" w:hAnsiTheme="minorEastAsia"/>
          <w:lang w:val="zh-CN"/>
        </w:rPr>
      </w:pPr>
      <w:r>
        <w:rPr>
          <w:rStyle w:val="24"/>
          <w:rFonts w:hint="eastAsia" w:asciiTheme="minorEastAsia" w:hAnsiTheme="minorEastAsia"/>
          <w:lang w:val="zh-CN"/>
        </w:rPr>
        <w:t>项目报价表</w:t>
      </w:r>
      <w:r>
        <w:rPr>
          <w:rStyle w:val="24"/>
          <w:rFonts w:hint="eastAsia" w:cs="宋体" w:asciiTheme="minorEastAsia" w:hAnsiTheme="minorEastAsia"/>
          <w:lang w:val="zh-CN"/>
        </w:rPr>
        <w:t>（格式见</w:t>
      </w:r>
      <w:r>
        <w:rPr>
          <w:rStyle w:val="24"/>
          <w:rFonts w:hint="eastAsia" w:cs="宋体" w:asciiTheme="minorEastAsia" w:hAnsiTheme="minorEastAsia"/>
          <w:b/>
          <w:bCs/>
          <w:lang w:val="zh-CN"/>
        </w:rPr>
        <w:t>《附件二：</w:t>
      </w:r>
      <w:r>
        <w:rPr>
          <w:rStyle w:val="24"/>
          <w:rFonts w:hint="eastAsia" w:cs="宋体" w:asciiTheme="minorEastAsia" w:hAnsiTheme="minorEastAsia"/>
          <w:b/>
          <w:bCs/>
          <w:lang w:val="en-US" w:eastAsia="zh-CN"/>
        </w:rPr>
        <w:t>项目报价表</w:t>
      </w:r>
      <w:r>
        <w:rPr>
          <w:rStyle w:val="24"/>
          <w:rFonts w:hint="eastAsia" w:cs="宋体" w:asciiTheme="minorEastAsia" w:hAnsiTheme="minorEastAsia"/>
          <w:b/>
          <w:bCs/>
          <w:lang w:val="zh-CN"/>
        </w:rPr>
        <w:t>》</w:t>
      </w:r>
      <w:r>
        <w:rPr>
          <w:rStyle w:val="24"/>
          <w:rFonts w:hint="eastAsia" w:cs="宋体" w:asciiTheme="minorEastAsia" w:hAnsiTheme="minorEastAsia"/>
          <w:lang w:val="zh-CN"/>
        </w:rPr>
        <w:t>）</w:t>
      </w:r>
      <w:r>
        <w:rPr>
          <w:rStyle w:val="24"/>
          <w:rFonts w:hint="eastAsia" w:asciiTheme="minorEastAsia" w:hAnsiTheme="minorEastAsia"/>
          <w:lang w:val="zh-CN"/>
        </w:rPr>
        <w:t>；</w:t>
      </w:r>
    </w:p>
    <w:p w14:paraId="43A9A0BA">
      <w:pPr>
        <w:pStyle w:val="19"/>
        <w:numPr>
          <w:ilvl w:val="0"/>
          <w:numId w:val="7"/>
        </w:numPr>
        <w:snapToGrid w:val="0"/>
        <w:spacing w:line="360" w:lineRule="auto"/>
        <w:ind w:firstLine="6" w:firstLineChars="0"/>
        <w:rPr>
          <w:rStyle w:val="24"/>
          <w:rFonts w:asciiTheme="minorEastAsia" w:hAnsiTheme="minorEastAsia"/>
          <w:lang w:val="zh-CN"/>
        </w:rPr>
      </w:pPr>
      <w:r>
        <w:rPr>
          <w:rStyle w:val="24"/>
          <w:rFonts w:hint="eastAsia" w:asciiTheme="minorEastAsia" w:hAnsiTheme="minorEastAsia"/>
          <w:lang w:val="zh-CN"/>
        </w:rPr>
        <w:t>供应商需要说明的其他文件。</w:t>
      </w:r>
    </w:p>
    <w:p w14:paraId="767F7919">
      <w:pPr>
        <w:widowControl/>
        <w:shd w:val="clear" w:color="auto" w:fill="FFFFFF"/>
        <w:spacing w:line="360" w:lineRule="auto"/>
        <w:ind w:firstLine="469"/>
        <w:jc w:val="left"/>
        <w:outlineLvl w:val="1"/>
        <w:rPr>
          <w:rFonts w:cs="Arial" w:asciiTheme="minorEastAsia" w:hAnsiTheme="minorEastAsia"/>
          <w:kern w:val="0"/>
          <w:sz w:val="28"/>
          <w:szCs w:val="28"/>
        </w:rPr>
      </w:pPr>
    </w:p>
    <w:bookmarkEnd w:id="11"/>
    <w:p w14:paraId="38EE1AF3">
      <w:pPr>
        <w:pStyle w:val="19"/>
        <w:widowControl/>
        <w:numPr>
          <w:ilvl w:val="0"/>
          <w:numId w:val="1"/>
        </w:numPr>
        <w:shd w:val="clear" w:color="auto" w:fill="FFFFFF"/>
        <w:spacing w:line="360" w:lineRule="auto"/>
        <w:ind w:firstLineChars="0"/>
        <w:jc w:val="left"/>
        <w:outlineLvl w:val="1"/>
        <w:rPr>
          <w:rFonts w:cs="Arial" w:asciiTheme="minorEastAsia" w:hAnsiTheme="minorEastAsia"/>
          <w:b/>
          <w:kern w:val="0"/>
          <w:sz w:val="32"/>
          <w:szCs w:val="32"/>
        </w:rPr>
      </w:pPr>
      <w:r>
        <w:rPr>
          <w:rFonts w:hint="eastAsia" w:cs="Arial" w:asciiTheme="minorEastAsia" w:hAnsiTheme="minorEastAsia"/>
          <w:b/>
          <w:kern w:val="0"/>
          <w:sz w:val="32"/>
          <w:szCs w:val="32"/>
        </w:rPr>
        <w:t>评标</w:t>
      </w:r>
      <w:r>
        <w:rPr>
          <w:rFonts w:hint="eastAsia" w:cs="宋体" w:asciiTheme="minorEastAsia" w:hAnsiTheme="minorEastAsia"/>
          <w:b/>
          <w:sz w:val="32"/>
          <w:szCs w:val="32"/>
        </w:rPr>
        <w:t>办法（综合评标法）</w:t>
      </w:r>
    </w:p>
    <w:p w14:paraId="7C84DBDE">
      <w:pPr>
        <w:pStyle w:val="19"/>
        <w:numPr>
          <w:ilvl w:val="0"/>
          <w:numId w:val="8"/>
        </w:numPr>
        <w:spacing w:line="360" w:lineRule="auto"/>
        <w:ind w:firstLineChars="0"/>
        <w:rPr>
          <w:rFonts w:cs="宋体" w:asciiTheme="minorEastAsia" w:hAnsiTheme="minorEastAsia"/>
          <w:b/>
          <w:bCs/>
          <w:sz w:val="24"/>
        </w:rPr>
      </w:pPr>
      <w:r>
        <w:rPr>
          <w:rFonts w:hint="eastAsia" w:cs="宋体" w:asciiTheme="minorEastAsia" w:hAnsiTheme="minorEastAsia"/>
          <w:b/>
          <w:bCs/>
          <w:sz w:val="24"/>
        </w:rPr>
        <w:t>评标过程</w:t>
      </w:r>
    </w:p>
    <w:p w14:paraId="1EAAEC61">
      <w:pPr>
        <w:spacing w:line="360" w:lineRule="auto"/>
        <w:ind w:firstLine="424" w:firstLineChars="177"/>
        <w:rPr>
          <w:rFonts w:asciiTheme="minorEastAsia" w:hAnsiTheme="minorEastAsia"/>
          <w:sz w:val="24"/>
          <w:szCs w:val="24"/>
        </w:rPr>
      </w:pPr>
      <w:r>
        <w:rPr>
          <w:rFonts w:hint="eastAsia" w:asciiTheme="minorEastAsia" w:hAnsiTheme="minorEastAsia"/>
          <w:sz w:val="24"/>
          <w:szCs w:val="24"/>
        </w:rPr>
        <w:t>由评委委员会对投标人的投标文件按评标标准和程序进行评审；待全部评审工作结束，评标委员会应编制评标报告，评标委员会成员分别签名确认评审结果后，即产生最终的评标结果。</w:t>
      </w:r>
    </w:p>
    <w:p w14:paraId="2374DEF5">
      <w:pPr>
        <w:pStyle w:val="19"/>
        <w:numPr>
          <w:ilvl w:val="0"/>
          <w:numId w:val="8"/>
        </w:numPr>
        <w:spacing w:line="360" w:lineRule="auto"/>
        <w:ind w:firstLineChars="0"/>
        <w:rPr>
          <w:rFonts w:cs="宋体" w:asciiTheme="minorEastAsia" w:hAnsiTheme="minorEastAsia"/>
          <w:b/>
          <w:bCs/>
          <w:sz w:val="24"/>
        </w:rPr>
      </w:pPr>
      <w:r>
        <w:rPr>
          <w:rFonts w:hint="eastAsia" w:cs="宋体" w:asciiTheme="minorEastAsia" w:hAnsiTheme="minorEastAsia"/>
          <w:b/>
          <w:bCs/>
          <w:sz w:val="24"/>
        </w:rPr>
        <w:t>评标程序项目</w:t>
      </w:r>
    </w:p>
    <w:p w14:paraId="14A46748">
      <w:pPr>
        <w:spacing w:line="360" w:lineRule="auto"/>
        <w:ind w:firstLine="424" w:firstLineChars="177"/>
        <w:rPr>
          <w:rFonts w:asciiTheme="minorEastAsia" w:hAnsiTheme="minorEastAsia"/>
          <w:sz w:val="24"/>
          <w:szCs w:val="24"/>
        </w:rPr>
      </w:pPr>
      <w:r>
        <w:rPr>
          <w:rFonts w:hint="eastAsia" w:asciiTheme="minorEastAsia" w:hAnsiTheme="minorEastAsia"/>
          <w:sz w:val="24"/>
          <w:szCs w:val="24"/>
        </w:rPr>
        <w:t>开标——资格审查——评审三个环节进行。</w:t>
      </w:r>
    </w:p>
    <w:p w14:paraId="758054D4">
      <w:pPr>
        <w:pStyle w:val="19"/>
        <w:numPr>
          <w:ilvl w:val="0"/>
          <w:numId w:val="8"/>
        </w:numPr>
        <w:spacing w:line="360" w:lineRule="auto"/>
        <w:ind w:firstLineChars="0"/>
        <w:rPr>
          <w:rFonts w:cs="宋体" w:asciiTheme="minorEastAsia" w:hAnsiTheme="minorEastAsia"/>
          <w:b/>
          <w:bCs/>
          <w:sz w:val="24"/>
        </w:rPr>
      </w:pPr>
      <w:r>
        <w:rPr>
          <w:rFonts w:hint="eastAsia" w:cs="宋体" w:asciiTheme="minorEastAsia" w:hAnsiTheme="minorEastAsia"/>
          <w:b/>
          <w:bCs/>
          <w:sz w:val="24"/>
        </w:rPr>
        <w:t>评分内容及标准</w:t>
      </w:r>
    </w:p>
    <w:tbl>
      <w:tblPr>
        <w:tblStyle w:val="11"/>
        <w:tblW w:w="107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4"/>
        <w:gridCol w:w="798"/>
        <w:gridCol w:w="1906"/>
        <w:gridCol w:w="6087"/>
        <w:gridCol w:w="1354"/>
      </w:tblGrid>
      <w:tr w14:paraId="1C090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412" w:type="dxa"/>
            <w:gridSpan w:val="2"/>
            <w:shd w:val="clear" w:color="auto" w:fill="D8D8D8" w:themeFill="background1" w:themeFillShade="D9"/>
            <w:vAlign w:val="center"/>
          </w:tcPr>
          <w:p w14:paraId="191B89B0">
            <w:pPr>
              <w:adjustRightInd w:val="0"/>
              <w:snapToGrid w:val="0"/>
              <w:jc w:val="center"/>
              <w:rPr>
                <w:rFonts w:cs="宋体" w:asciiTheme="minorEastAsia" w:hAnsiTheme="minorEastAsia"/>
                <w:sz w:val="24"/>
                <w:szCs w:val="24"/>
              </w:rPr>
            </w:pPr>
            <w:r>
              <w:rPr>
                <w:rFonts w:hint="eastAsia" w:cs="宋体" w:asciiTheme="minorEastAsia" w:hAnsiTheme="minorEastAsia"/>
                <w:sz w:val="24"/>
                <w:szCs w:val="24"/>
              </w:rPr>
              <w:t>条款号</w:t>
            </w:r>
          </w:p>
        </w:tc>
        <w:tc>
          <w:tcPr>
            <w:tcW w:w="1906" w:type="dxa"/>
            <w:shd w:val="clear" w:color="auto" w:fill="D8D8D8" w:themeFill="background1" w:themeFillShade="D9"/>
            <w:vAlign w:val="center"/>
          </w:tcPr>
          <w:p w14:paraId="2726B826">
            <w:pPr>
              <w:adjustRightInd w:val="0"/>
              <w:snapToGrid w:val="0"/>
              <w:jc w:val="center"/>
              <w:rPr>
                <w:rFonts w:cs="宋体" w:asciiTheme="minorEastAsia" w:hAnsiTheme="minorEastAsia"/>
                <w:sz w:val="24"/>
                <w:szCs w:val="24"/>
              </w:rPr>
            </w:pPr>
            <w:r>
              <w:rPr>
                <w:rFonts w:hint="eastAsia" w:cs="宋体" w:asciiTheme="minorEastAsia" w:hAnsiTheme="minorEastAsia"/>
                <w:sz w:val="24"/>
                <w:szCs w:val="24"/>
              </w:rPr>
              <w:t>评审因素</w:t>
            </w:r>
          </w:p>
        </w:tc>
        <w:tc>
          <w:tcPr>
            <w:tcW w:w="6087" w:type="dxa"/>
            <w:shd w:val="clear" w:color="auto" w:fill="D8D8D8" w:themeFill="background1" w:themeFillShade="D9"/>
            <w:vAlign w:val="center"/>
          </w:tcPr>
          <w:p w14:paraId="06B41E50">
            <w:pPr>
              <w:adjustRightInd w:val="0"/>
              <w:snapToGrid w:val="0"/>
              <w:jc w:val="center"/>
              <w:rPr>
                <w:rFonts w:cs="宋体" w:asciiTheme="minorEastAsia" w:hAnsiTheme="minorEastAsia"/>
                <w:sz w:val="24"/>
                <w:szCs w:val="24"/>
              </w:rPr>
            </w:pPr>
            <w:r>
              <w:rPr>
                <w:rFonts w:hint="eastAsia" w:cs="宋体" w:asciiTheme="minorEastAsia" w:hAnsiTheme="minorEastAsia"/>
                <w:sz w:val="24"/>
                <w:szCs w:val="24"/>
              </w:rPr>
              <w:t>评审标准</w:t>
            </w:r>
          </w:p>
        </w:tc>
        <w:tc>
          <w:tcPr>
            <w:tcW w:w="1354" w:type="dxa"/>
            <w:shd w:val="clear" w:color="auto" w:fill="D8D8D8" w:themeFill="background1" w:themeFillShade="D9"/>
            <w:vAlign w:val="center"/>
          </w:tcPr>
          <w:p w14:paraId="6A12A105">
            <w:pPr>
              <w:spacing w:line="360" w:lineRule="auto"/>
              <w:jc w:val="center"/>
              <w:rPr>
                <w:rFonts w:cs="宋体" w:asciiTheme="minorEastAsia" w:hAnsiTheme="minorEastAsia"/>
                <w:sz w:val="24"/>
              </w:rPr>
            </w:pPr>
            <w:r>
              <w:rPr>
                <w:rFonts w:hint="eastAsia" w:cs="宋体" w:asciiTheme="minorEastAsia" w:hAnsiTheme="minorEastAsia"/>
                <w:sz w:val="24"/>
                <w:szCs w:val="24"/>
              </w:rPr>
              <w:t>评审类型</w:t>
            </w:r>
          </w:p>
        </w:tc>
      </w:tr>
      <w:tr w14:paraId="356C0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614" w:type="dxa"/>
            <w:vAlign w:val="center"/>
          </w:tcPr>
          <w:p w14:paraId="128A565E">
            <w:pPr>
              <w:adjustRightInd w:val="0"/>
              <w:snapToGrid w:val="0"/>
              <w:jc w:val="center"/>
              <w:rPr>
                <w:rFonts w:cs="宋体" w:asciiTheme="minorEastAsia" w:hAnsiTheme="minorEastAsia"/>
                <w:kern w:val="0"/>
                <w:sz w:val="24"/>
                <w:szCs w:val="24"/>
              </w:rPr>
            </w:pPr>
            <w:r>
              <w:rPr>
                <w:rFonts w:hint="eastAsia" w:cs="宋体" w:asciiTheme="minorEastAsia" w:hAnsiTheme="minorEastAsia"/>
                <w:kern w:val="0"/>
                <w:sz w:val="24"/>
                <w:szCs w:val="24"/>
              </w:rPr>
              <w:t>1</w:t>
            </w:r>
          </w:p>
        </w:tc>
        <w:tc>
          <w:tcPr>
            <w:tcW w:w="798" w:type="dxa"/>
            <w:vAlign w:val="center"/>
          </w:tcPr>
          <w:p w14:paraId="6178D0FE">
            <w:pPr>
              <w:adjustRightInd w:val="0"/>
              <w:snapToGrid w:val="0"/>
              <w:jc w:val="center"/>
              <w:rPr>
                <w:rFonts w:cs="宋体" w:asciiTheme="minorEastAsia" w:hAnsiTheme="minorEastAsia"/>
                <w:sz w:val="24"/>
                <w:szCs w:val="24"/>
              </w:rPr>
            </w:pPr>
            <w:r>
              <w:rPr>
                <w:rFonts w:hint="eastAsia" w:cs="宋体" w:asciiTheme="minorEastAsia" w:hAnsiTheme="minorEastAsia"/>
                <w:sz w:val="24"/>
                <w:szCs w:val="24"/>
              </w:rPr>
              <w:t>评标</w:t>
            </w:r>
          </w:p>
          <w:p w14:paraId="5C6D4DEC">
            <w:pPr>
              <w:adjustRightInd w:val="0"/>
              <w:snapToGrid w:val="0"/>
              <w:jc w:val="center"/>
              <w:rPr>
                <w:rFonts w:cs="宋体" w:asciiTheme="minorEastAsia" w:hAnsiTheme="minorEastAsia"/>
                <w:sz w:val="24"/>
                <w:szCs w:val="24"/>
              </w:rPr>
            </w:pPr>
            <w:r>
              <w:rPr>
                <w:rFonts w:hint="eastAsia" w:cs="宋体" w:asciiTheme="minorEastAsia" w:hAnsiTheme="minorEastAsia"/>
                <w:sz w:val="24"/>
                <w:szCs w:val="24"/>
              </w:rPr>
              <w:t>办法</w:t>
            </w:r>
          </w:p>
        </w:tc>
        <w:tc>
          <w:tcPr>
            <w:tcW w:w="1906" w:type="dxa"/>
            <w:vAlign w:val="center"/>
          </w:tcPr>
          <w:p w14:paraId="2697D450">
            <w:pPr>
              <w:adjustRightInd w:val="0"/>
              <w:snapToGrid w:val="0"/>
              <w:jc w:val="center"/>
              <w:rPr>
                <w:rFonts w:cs="宋体" w:asciiTheme="minorEastAsia" w:hAnsiTheme="minorEastAsia"/>
                <w:sz w:val="24"/>
                <w:szCs w:val="24"/>
              </w:rPr>
            </w:pPr>
            <w:r>
              <w:rPr>
                <w:rFonts w:hint="eastAsia" w:cs="宋体" w:asciiTheme="minorEastAsia" w:hAnsiTheme="minorEastAsia"/>
                <w:sz w:val="24"/>
                <w:szCs w:val="24"/>
              </w:rPr>
              <w:t>中标候选人排序方法</w:t>
            </w:r>
          </w:p>
        </w:tc>
        <w:tc>
          <w:tcPr>
            <w:tcW w:w="6087" w:type="dxa"/>
            <w:vAlign w:val="center"/>
          </w:tcPr>
          <w:p w14:paraId="67547132">
            <w:pPr>
              <w:adjustRightInd w:val="0"/>
              <w:snapToGrid w:val="0"/>
              <w:rPr>
                <w:rFonts w:cs="宋体" w:asciiTheme="minorEastAsia" w:hAnsiTheme="minorEastAsia"/>
                <w:sz w:val="24"/>
                <w:szCs w:val="24"/>
              </w:rPr>
            </w:pPr>
            <w:r>
              <w:rPr>
                <w:rFonts w:hint="eastAsia" w:cs="宋体" w:asciiTheme="minorEastAsia" w:hAnsiTheme="minorEastAsia"/>
                <w:sz w:val="24"/>
                <w:szCs w:val="24"/>
              </w:rPr>
              <w:t>本项目评标办法为综合评分法，评标委员会推荐中标候选人方法按照投标文件满足招标文件全部实质性要求，且按照评审因素的量化指标评审得分最高的投标人为中标候选人。</w:t>
            </w:r>
          </w:p>
        </w:tc>
        <w:tc>
          <w:tcPr>
            <w:tcW w:w="1354" w:type="dxa"/>
            <w:vAlign w:val="center"/>
          </w:tcPr>
          <w:p w14:paraId="7A338D71">
            <w:pPr>
              <w:spacing w:line="360" w:lineRule="auto"/>
              <w:jc w:val="center"/>
              <w:rPr>
                <w:rFonts w:cs="宋体" w:asciiTheme="minorEastAsia" w:hAnsiTheme="minorEastAsia"/>
                <w:sz w:val="24"/>
              </w:rPr>
            </w:pPr>
            <w:r>
              <w:rPr>
                <w:rFonts w:hint="eastAsia" w:cs="宋体" w:asciiTheme="minorEastAsia" w:hAnsiTheme="minorEastAsia"/>
                <w:sz w:val="24"/>
              </w:rPr>
              <w:t>/</w:t>
            </w:r>
          </w:p>
        </w:tc>
      </w:tr>
      <w:tr w14:paraId="53963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614" w:type="dxa"/>
            <w:vMerge w:val="restart"/>
            <w:vAlign w:val="center"/>
          </w:tcPr>
          <w:p w14:paraId="57B57ADD">
            <w:pPr>
              <w:adjustRightInd w:val="0"/>
              <w:snapToGrid w:val="0"/>
              <w:jc w:val="center"/>
              <w:rPr>
                <w:rFonts w:cs="宋体" w:asciiTheme="minorEastAsia" w:hAnsiTheme="minorEastAsia"/>
                <w:kern w:val="0"/>
                <w:sz w:val="24"/>
                <w:szCs w:val="24"/>
              </w:rPr>
            </w:pPr>
            <w:r>
              <w:rPr>
                <w:rFonts w:hint="eastAsia" w:cs="宋体" w:asciiTheme="minorEastAsia" w:hAnsiTheme="minorEastAsia"/>
                <w:kern w:val="0"/>
                <w:sz w:val="24"/>
                <w:szCs w:val="24"/>
              </w:rPr>
              <w:t>2.1</w:t>
            </w:r>
          </w:p>
        </w:tc>
        <w:tc>
          <w:tcPr>
            <w:tcW w:w="798" w:type="dxa"/>
            <w:vMerge w:val="restart"/>
            <w:vAlign w:val="center"/>
          </w:tcPr>
          <w:p w14:paraId="3EC39B09">
            <w:pPr>
              <w:adjustRightInd w:val="0"/>
              <w:snapToGrid w:val="0"/>
              <w:jc w:val="center"/>
              <w:rPr>
                <w:rFonts w:cs="宋体" w:asciiTheme="minorEastAsia" w:hAnsiTheme="minorEastAsia"/>
                <w:sz w:val="24"/>
                <w:szCs w:val="24"/>
              </w:rPr>
            </w:pPr>
            <w:r>
              <w:rPr>
                <w:rFonts w:hint="eastAsia" w:cs="宋体" w:asciiTheme="minorEastAsia" w:hAnsiTheme="minorEastAsia"/>
                <w:sz w:val="24"/>
                <w:szCs w:val="24"/>
              </w:rPr>
              <w:t>符合</w:t>
            </w:r>
          </w:p>
          <w:p w14:paraId="1A150587">
            <w:pPr>
              <w:adjustRightInd w:val="0"/>
              <w:snapToGrid w:val="0"/>
              <w:jc w:val="center"/>
              <w:rPr>
                <w:rFonts w:cs="宋体" w:asciiTheme="minorEastAsia" w:hAnsiTheme="minorEastAsia"/>
                <w:sz w:val="24"/>
                <w:szCs w:val="24"/>
              </w:rPr>
            </w:pPr>
            <w:r>
              <w:rPr>
                <w:rFonts w:hint="eastAsia" w:cs="宋体" w:asciiTheme="minorEastAsia" w:hAnsiTheme="minorEastAsia"/>
                <w:sz w:val="24"/>
                <w:szCs w:val="24"/>
              </w:rPr>
              <w:t>性审</w:t>
            </w:r>
          </w:p>
          <w:p w14:paraId="7EC916D6">
            <w:pPr>
              <w:adjustRightInd w:val="0"/>
              <w:snapToGrid w:val="0"/>
              <w:jc w:val="center"/>
              <w:rPr>
                <w:rFonts w:cs="宋体" w:asciiTheme="minorEastAsia" w:hAnsiTheme="minorEastAsia"/>
                <w:sz w:val="24"/>
                <w:szCs w:val="24"/>
              </w:rPr>
            </w:pPr>
            <w:r>
              <w:rPr>
                <w:rFonts w:hint="eastAsia" w:cs="宋体" w:asciiTheme="minorEastAsia" w:hAnsiTheme="minorEastAsia"/>
                <w:sz w:val="24"/>
                <w:szCs w:val="24"/>
              </w:rPr>
              <w:t>查</w:t>
            </w:r>
          </w:p>
        </w:tc>
        <w:tc>
          <w:tcPr>
            <w:tcW w:w="1906" w:type="dxa"/>
            <w:vAlign w:val="center"/>
          </w:tcPr>
          <w:p w14:paraId="3DC4C9D3">
            <w:pPr>
              <w:adjustRightInd w:val="0"/>
              <w:snapToGrid w:val="0"/>
              <w:jc w:val="center"/>
              <w:rPr>
                <w:rFonts w:cs="宋体" w:asciiTheme="minorEastAsia" w:hAnsiTheme="minorEastAsia"/>
                <w:sz w:val="24"/>
                <w:szCs w:val="24"/>
              </w:rPr>
            </w:pPr>
            <w:r>
              <w:rPr>
                <w:rFonts w:hint="eastAsia" w:cs="宋体" w:asciiTheme="minorEastAsia" w:hAnsiTheme="minorEastAsia"/>
                <w:sz w:val="24"/>
                <w:szCs w:val="24"/>
              </w:rPr>
              <w:t>/</w:t>
            </w:r>
          </w:p>
        </w:tc>
        <w:tc>
          <w:tcPr>
            <w:tcW w:w="6087" w:type="dxa"/>
            <w:vAlign w:val="center"/>
          </w:tcPr>
          <w:p w14:paraId="45DC3B4A">
            <w:pPr>
              <w:adjustRightInd w:val="0"/>
              <w:snapToGrid w:val="0"/>
              <w:rPr>
                <w:rFonts w:hint="eastAsia" w:cs="宋体" w:asciiTheme="minorEastAsia" w:hAnsiTheme="minorEastAsia" w:eastAsiaTheme="minorEastAsia"/>
                <w:sz w:val="24"/>
                <w:szCs w:val="24"/>
                <w:lang w:eastAsia="zh-CN"/>
              </w:rPr>
            </w:pPr>
            <w:r>
              <w:rPr>
                <w:rFonts w:hint="eastAsia" w:cs="宋体" w:asciiTheme="minorEastAsia" w:hAnsiTheme="minorEastAsia"/>
                <w:sz w:val="24"/>
                <w:szCs w:val="24"/>
              </w:rPr>
              <w:t>投标文件（逐页盖章）未按招标文件要求签署、盖章的</w:t>
            </w:r>
            <w:r>
              <w:rPr>
                <w:rFonts w:hint="eastAsia" w:cs="宋体" w:asciiTheme="minorEastAsia" w:hAnsiTheme="minorEastAsia"/>
                <w:sz w:val="24"/>
                <w:szCs w:val="24"/>
                <w:lang w:eastAsia="zh-CN"/>
              </w:rPr>
              <w:t>。</w:t>
            </w:r>
          </w:p>
        </w:tc>
        <w:tc>
          <w:tcPr>
            <w:tcW w:w="1354" w:type="dxa"/>
            <w:vAlign w:val="center"/>
          </w:tcPr>
          <w:p w14:paraId="48977E94">
            <w:pPr>
              <w:spacing w:line="360" w:lineRule="auto"/>
              <w:jc w:val="center"/>
              <w:rPr>
                <w:rFonts w:cs="宋体" w:asciiTheme="minorEastAsia" w:hAnsiTheme="minorEastAsia"/>
                <w:sz w:val="24"/>
                <w:szCs w:val="24"/>
              </w:rPr>
            </w:pPr>
            <w:r>
              <w:rPr>
                <w:rFonts w:hint="eastAsia" w:cs="宋体" w:asciiTheme="minorEastAsia" w:hAnsiTheme="minorEastAsia"/>
                <w:sz w:val="24"/>
                <w:szCs w:val="24"/>
              </w:rPr>
              <w:t>重要指标</w:t>
            </w:r>
          </w:p>
        </w:tc>
      </w:tr>
      <w:tr w14:paraId="23582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614" w:type="dxa"/>
            <w:vMerge w:val="continue"/>
            <w:vAlign w:val="center"/>
          </w:tcPr>
          <w:p w14:paraId="65395847">
            <w:pPr>
              <w:adjustRightInd w:val="0"/>
              <w:snapToGrid w:val="0"/>
              <w:jc w:val="center"/>
              <w:rPr>
                <w:rFonts w:cs="宋体" w:asciiTheme="minorEastAsia" w:hAnsiTheme="minorEastAsia"/>
                <w:kern w:val="0"/>
                <w:sz w:val="24"/>
                <w:szCs w:val="24"/>
              </w:rPr>
            </w:pPr>
          </w:p>
        </w:tc>
        <w:tc>
          <w:tcPr>
            <w:tcW w:w="798" w:type="dxa"/>
            <w:vMerge w:val="continue"/>
            <w:vAlign w:val="center"/>
          </w:tcPr>
          <w:p w14:paraId="3C59E650">
            <w:pPr>
              <w:adjustRightInd w:val="0"/>
              <w:snapToGrid w:val="0"/>
              <w:jc w:val="center"/>
              <w:rPr>
                <w:rFonts w:cs="宋体" w:asciiTheme="minorEastAsia" w:hAnsiTheme="minorEastAsia"/>
                <w:sz w:val="24"/>
                <w:szCs w:val="24"/>
              </w:rPr>
            </w:pPr>
          </w:p>
        </w:tc>
        <w:tc>
          <w:tcPr>
            <w:tcW w:w="1906" w:type="dxa"/>
            <w:vAlign w:val="center"/>
          </w:tcPr>
          <w:p w14:paraId="1C119825">
            <w:pPr>
              <w:adjustRightInd w:val="0"/>
              <w:snapToGrid w:val="0"/>
              <w:jc w:val="center"/>
              <w:rPr>
                <w:rFonts w:cs="宋体" w:asciiTheme="minorEastAsia" w:hAnsiTheme="minorEastAsia"/>
                <w:sz w:val="24"/>
                <w:szCs w:val="24"/>
              </w:rPr>
            </w:pPr>
            <w:r>
              <w:rPr>
                <w:rFonts w:hint="eastAsia" w:cs="宋体" w:asciiTheme="minorEastAsia" w:hAnsiTheme="minorEastAsia"/>
                <w:sz w:val="24"/>
                <w:szCs w:val="24"/>
              </w:rPr>
              <w:t>/</w:t>
            </w:r>
          </w:p>
        </w:tc>
        <w:tc>
          <w:tcPr>
            <w:tcW w:w="6087" w:type="dxa"/>
            <w:vAlign w:val="center"/>
          </w:tcPr>
          <w:p w14:paraId="13CF608A">
            <w:pPr>
              <w:adjustRightInd w:val="0"/>
              <w:snapToGrid w:val="0"/>
              <w:rPr>
                <w:rFonts w:hint="eastAsia" w:cs="宋体" w:asciiTheme="minorEastAsia" w:hAnsiTheme="minorEastAsia" w:eastAsiaTheme="minorEastAsia"/>
                <w:sz w:val="24"/>
                <w:szCs w:val="24"/>
                <w:lang w:eastAsia="zh-CN"/>
              </w:rPr>
            </w:pPr>
            <w:r>
              <w:rPr>
                <w:rFonts w:hint="eastAsia" w:cs="宋体" w:asciiTheme="minorEastAsia" w:hAnsiTheme="minorEastAsia"/>
                <w:sz w:val="24"/>
                <w:szCs w:val="24"/>
              </w:rPr>
              <w:t>投标文件内容真实，未提供虚假证明文件</w:t>
            </w:r>
            <w:r>
              <w:rPr>
                <w:rFonts w:hint="eastAsia" w:cs="宋体" w:asciiTheme="minorEastAsia" w:hAnsiTheme="minorEastAsia"/>
                <w:sz w:val="24"/>
                <w:szCs w:val="24"/>
                <w:lang w:eastAsia="zh-CN"/>
              </w:rPr>
              <w:t>、</w:t>
            </w:r>
            <w:r>
              <w:rPr>
                <w:rFonts w:hint="eastAsia" w:cs="宋体" w:asciiTheme="minorEastAsia" w:hAnsiTheme="minorEastAsia"/>
                <w:sz w:val="24"/>
                <w:szCs w:val="24"/>
              </w:rPr>
              <w:t>虚假技术参数的</w:t>
            </w:r>
            <w:r>
              <w:rPr>
                <w:rFonts w:hint="eastAsia" w:cs="宋体" w:asciiTheme="minorEastAsia" w:hAnsiTheme="minorEastAsia"/>
                <w:sz w:val="24"/>
                <w:szCs w:val="24"/>
                <w:lang w:eastAsia="zh-CN"/>
              </w:rPr>
              <w:t>。</w:t>
            </w:r>
          </w:p>
        </w:tc>
        <w:tc>
          <w:tcPr>
            <w:tcW w:w="1354" w:type="dxa"/>
            <w:vAlign w:val="center"/>
          </w:tcPr>
          <w:p w14:paraId="44C5D647">
            <w:pPr>
              <w:spacing w:line="360" w:lineRule="auto"/>
              <w:jc w:val="center"/>
              <w:rPr>
                <w:rFonts w:cs="宋体" w:asciiTheme="minorEastAsia" w:hAnsiTheme="minorEastAsia"/>
                <w:sz w:val="24"/>
                <w:szCs w:val="24"/>
              </w:rPr>
            </w:pPr>
            <w:r>
              <w:rPr>
                <w:rFonts w:hint="eastAsia" w:cs="宋体" w:asciiTheme="minorEastAsia" w:hAnsiTheme="minorEastAsia"/>
                <w:sz w:val="24"/>
                <w:szCs w:val="24"/>
              </w:rPr>
              <w:t>重要指标</w:t>
            </w:r>
          </w:p>
        </w:tc>
      </w:tr>
      <w:tr w14:paraId="0F4E1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614" w:type="dxa"/>
            <w:vMerge w:val="continue"/>
            <w:vAlign w:val="center"/>
          </w:tcPr>
          <w:p w14:paraId="3BFFD475">
            <w:pPr>
              <w:adjustRightInd w:val="0"/>
              <w:snapToGrid w:val="0"/>
              <w:jc w:val="center"/>
              <w:rPr>
                <w:rFonts w:cs="宋体" w:asciiTheme="minorEastAsia" w:hAnsiTheme="minorEastAsia"/>
                <w:kern w:val="0"/>
                <w:sz w:val="24"/>
                <w:szCs w:val="24"/>
              </w:rPr>
            </w:pPr>
          </w:p>
        </w:tc>
        <w:tc>
          <w:tcPr>
            <w:tcW w:w="798" w:type="dxa"/>
            <w:vMerge w:val="continue"/>
            <w:vAlign w:val="center"/>
          </w:tcPr>
          <w:p w14:paraId="2724E402">
            <w:pPr>
              <w:adjustRightInd w:val="0"/>
              <w:snapToGrid w:val="0"/>
              <w:jc w:val="center"/>
              <w:rPr>
                <w:rFonts w:cs="宋体" w:asciiTheme="minorEastAsia" w:hAnsiTheme="minorEastAsia"/>
                <w:sz w:val="24"/>
                <w:szCs w:val="24"/>
              </w:rPr>
            </w:pPr>
          </w:p>
        </w:tc>
        <w:tc>
          <w:tcPr>
            <w:tcW w:w="1906" w:type="dxa"/>
            <w:vAlign w:val="center"/>
          </w:tcPr>
          <w:p w14:paraId="30521CD6">
            <w:pPr>
              <w:adjustRightInd w:val="0"/>
              <w:snapToGrid w:val="0"/>
              <w:jc w:val="center"/>
              <w:rPr>
                <w:rFonts w:cs="宋体" w:asciiTheme="minorEastAsia" w:hAnsiTheme="minorEastAsia"/>
                <w:sz w:val="24"/>
                <w:szCs w:val="24"/>
              </w:rPr>
            </w:pPr>
            <w:r>
              <w:rPr>
                <w:rFonts w:hint="eastAsia" w:cs="宋体" w:asciiTheme="minorEastAsia" w:hAnsiTheme="minorEastAsia"/>
                <w:sz w:val="24"/>
                <w:szCs w:val="24"/>
              </w:rPr>
              <w:t>/</w:t>
            </w:r>
          </w:p>
        </w:tc>
        <w:tc>
          <w:tcPr>
            <w:tcW w:w="6087" w:type="dxa"/>
            <w:vAlign w:val="center"/>
          </w:tcPr>
          <w:p w14:paraId="0E2614CD">
            <w:pPr>
              <w:adjustRightInd w:val="0"/>
              <w:snapToGrid w:val="0"/>
              <w:rPr>
                <w:rFonts w:hint="eastAsia" w:cs="宋体" w:asciiTheme="minorEastAsia" w:hAnsiTheme="minorEastAsia" w:eastAsiaTheme="minorEastAsia"/>
                <w:sz w:val="24"/>
                <w:szCs w:val="24"/>
                <w:lang w:eastAsia="zh-CN"/>
              </w:rPr>
            </w:pPr>
            <w:r>
              <w:rPr>
                <w:rFonts w:hint="eastAsia" w:cs="宋体" w:asciiTheme="minorEastAsia" w:hAnsiTheme="minorEastAsia"/>
                <w:sz w:val="24"/>
                <w:szCs w:val="24"/>
              </w:rPr>
              <w:t>报价超过招标文件中规定的预算金额或最高限价的</w:t>
            </w:r>
            <w:r>
              <w:rPr>
                <w:rFonts w:hint="eastAsia" w:cs="宋体" w:asciiTheme="minorEastAsia" w:hAnsiTheme="minorEastAsia"/>
                <w:sz w:val="24"/>
                <w:szCs w:val="24"/>
                <w:lang w:eastAsia="zh-CN"/>
              </w:rPr>
              <w:t>。</w:t>
            </w:r>
          </w:p>
        </w:tc>
        <w:tc>
          <w:tcPr>
            <w:tcW w:w="1354" w:type="dxa"/>
            <w:vAlign w:val="center"/>
          </w:tcPr>
          <w:p w14:paraId="3781E4A2">
            <w:pPr>
              <w:spacing w:line="360" w:lineRule="auto"/>
              <w:jc w:val="center"/>
              <w:rPr>
                <w:rFonts w:cs="宋体" w:asciiTheme="minorEastAsia" w:hAnsiTheme="minorEastAsia"/>
                <w:sz w:val="24"/>
                <w:szCs w:val="24"/>
              </w:rPr>
            </w:pPr>
            <w:r>
              <w:rPr>
                <w:rFonts w:hint="eastAsia" w:cs="宋体" w:asciiTheme="minorEastAsia" w:hAnsiTheme="minorEastAsia"/>
                <w:sz w:val="24"/>
                <w:szCs w:val="24"/>
              </w:rPr>
              <w:t>重要指标</w:t>
            </w:r>
          </w:p>
        </w:tc>
      </w:tr>
      <w:tr w14:paraId="31C1E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614" w:type="dxa"/>
            <w:vMerge w:val="continue"/>
            <w:vAlign w:val="center"/>
          </w:tcPr>
          <w:p w14:paraId="11FC5B56">
            <w:pPr>
              <w:adjustRightInd w:val="0"/>
              <w:snapToGrid w:val="0"/>
              <w:jc w:val="center"/>
              <w:rPr>
                <w:rFonts w:cs="宋体" w:asciiTheme="minorEastAsia" w:hAnsiTheme="minorEastAsia"/>
                <w:kern w:val="0"/>
                <w:sz w:val="24"/>
                <w:szCs w:val="24"/>
              </w:rPr>
            </w:pPr>
          </w:p>
        </w:tc>
        <w:tc>
          <w:tcPr>
            <w:tcW w:w="798" w:type="dxa"/>
            <w:vMerge w:val="continue"/>
            <w:vAlign w:val="center"/>
          </w:tcPr>
          <w:p w14:paraId="3A7E0609">
            <w:pPr>
              <w:adjustRightInd w:val="0"/>
              <w:snapToGrid w:val="0"/>
              <w:jc w:val="center"/>
              <w:rPr>
                <w:rFonts w:cs="宋体" w:asciiTheme="minorEastAsia" w:hAnsiTheme="minorEastAsia"/>
                <w:sz w:val="24"/>
                <w:szCs w:val="24"/>
              </w:rPr>
            </w:pPr>
          </w:p>
        </w:tc>
        <w:tc>
          <w:tcPr>
            <w:tcW w:w="1906" w:type="dxa"/>
            <w:vAlign w:val="center"/>
          </w:tcPr>
          <w:p w14:paraId="115F0787">
            <w:pPr>
              <w:adjustRightInd w:val="0"/>
              <w:snapToGrid w:val="0"/>
              <w:jc w:val="center"/>
              <w:rPr>
                <w:rFonts w:cs="宋体" w:asciiTheme="minorEastAsia" w:hAnsiTheme="minorEastAsia"/>
                <w:sz w:val="24"/>
                <w:szCs w:val="24"/>
              </w:rPr>
            </w:pPr>
            <w:r>
              <w:rPr>
                <w:rFonts w:hint="eastAsia" w:cs="宋体" w:asciiTheme="minorEastAsia" w:hAnsiTheme="minorEastAsia"/>
                <w:sz w:val="24"/>
                <w:szCs w:val="24"/>
              </w:rPr>
              <w:t>/</w:t>
            </w:r>
          </w:p>
        </w:tc>
        <w:tc>
          <w:tcPr>
            <w:tcW w:w="6087" w:type="dxa"/>
            <w:vAlign w:val="center"/>
          </w:tcPr>
          <w:p w14:paraId="2E1F9BA7">
            <w:pPr>
              <w:adjustRightInd w:val="0"/>
              <w:snapToGrid w:val="0"/>
              <w:rPr>
                <w:rFonts w:hint="eastAsia" w:cs="宋体" w:asciiTheme="minorEastAsia" w:hAnsiTheme="minorEastAsia" w:eastAsiaTheme="minorEastAsia"/>
                <w:sz w:val="24"/>
                <w:szCs w:val="24"/>
                <w:lang w:eastAsia="zh-CN"/>
              </w:rPr>
            </w:pPr>
            <w:r>
              <w:rPr>
                <w:rFonts w:hint="eastAsia" w:cs="宋体" w:asciiTheme="minorEastAsia" w:hAnsiTheme="minorEastAsia"/>
                <w:sz w:val="24"/>
                <w:szCs w:val="24"/>
              </w:rPr>
              <w:t>投标文件含有采购人不能接受的附加条件的</w:t>
            </w:r>
            <w:r>
              <w:rPr>
                <w:rFonts w:hint="eastAsia" w:cs="宋体" w:asciiTheme="minorEastAsia" w:hAnsiTheme="minorEastAsia"/>
                <w:sz w:val="24"/>
                <w:szCs w:val="24"/>
                <w:lang w:eastAsia="zh-CN"/>
              </w:rPr>
              <w:t>。</w:t>
            </w:r>
          </w:p>
        </w:tc>
        <w:tc>
          <w:tcPr>
            <w:tcW w:w="1354" w:type="dxa"/>
            <w:vAlign w:val="center"/>
          </w:tcPr>
          <w:p w14:paraId="7879785D">
            <w:pPr>
              <w:spacing w:line="360" w:lineRule="auto"/>
              <w:jc w:val="center"/>
              <w:rPr>
                <w:rFonts w:cs="宋体" w:asciiTheme="minorEastAsia" w:hAnsiTheme="minorEastAsia"/>
                <w:sz w:val="24"/>
                <w:szCs w:val="24"/>
              </w:rPr>
            </w:pPr>
            <w:r>
              <w:rPr>
                <w:rFonts w:hint="eastAsia" w:cs="宋体" w:asciiTheme="minorEastAsia" w:hAnsiTheme="minorEastAsia"/>
                <w:sz w:val="24"/>
                <w:szCs w:val="24"/>
              </w:rPr>
              <w:t>重要指标</w:t>
            </w:r>
          </w:p>
        </w:tc>
      </w:tr>
      <w:tr w14:paraId="2C430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614" w:type="dxa"/>
            <w:vMerge w:val="continue"/>
            <w:vAlign w:val="center"/>
          </w:tcPr>
          <w:p w14:paraId="0F28482E">
            <w:pPr>
              <w:adjustRightInd w:val="0"/>
              <w:snapToGrid w:val="0"/>
              <w:jc w:val="center"/>
              <w:rPr>
                <w:rFonts w:cs="宋体" w:asciiTheme="minorEastAsia" w:hAnsiTheme="minorEastAsia"/>
                <w:kern w:val="0"/>
                <w:sz w:val="24"/>
                <w:szCs w:val="24"/>
              </w:rPr>
            </w:pPr>
          </w:p>
        </w:tc>
        <w:tc>
          <w:tcPr>
            <w:tcW w:w="798" w:type="dxa"/>
            <w:vMerge w:val="continue"/>
            <w:vAlign w:val="center"/>
          </w:tcPr>
          <w:p w14:paraId="08C47B44">
            <w:pPr>
              <w:adjustRightInd w:val="0"/>
              <w:snapToGrid w:val="0"/>
              <w:jc w:val="center"/>
              <w:rPr>
                <w:rFonts w:cs="宋体" w:asciiTheme="minorEastAsia" w:hAnsiTheme="minorEastAsia"/>
                <w:sz w:val="24"/>
                <w:szCs w:val="24"/>
              </w:rPr>
            </w:pPr>
          </w:p>
        </w:tc>
        <w:tc>
          <w:tcPr>
            <w:tcW w:w="1906" w:type="dxa"/>
            <w:vAlign w:val="center"/>
          </w:tcPr>
          <w:p w14:paraId="165FED31">
            <w:pPr>
              <w:adjustRightInd w:val="0"/>
              <w:snapToGrid w:val="0"/>
              <w:jc w:val="center"/>
              <w:rPr>
                <w:rFonts w:cs="宋体" w:asciiTheme="minorEastAsia" w:hAnsiTheme="minorEastAsia"/>
                <w:sz w:val="24"/>
                <w:szCs w:val="24"/>
              </w:rPr>
            </w:pPr>
            <w:r>
              <w:rPr>
                <w:rFonts w:hint="eastAsia" w:cs="宋体" w:asciiTheme="minorEastAsia" w:hAnsiTheme="minorEastAsia"/>
                <w:sz w:val="24"/>
                <w:szCs w:val="24"/>
              </w:rPr>
              <w:t>/</w:t>
            </w:r>
          </w:p>
        </w:tc>
        <w:tc>
          <w:tcPr>
            <w:tcW w:w="6087" w:type="dxa"/>
            <w:vAlign w:val="center"/>
          </w:tcPr>
          <w:p w14:paraId="1BC02951">
            <w:pPr>
              <w:adjustRightInd w:val="0"/>
              <w:snapToGrid w:val="0"/>
              <w:rPr>
                <w:rFonts w:hint="eastAsia" w:cs="宋体" w:asciiTheme="minorEastAsia" w:hAnsiTheme="minorEastAsia" w:eastAsiaTheme="minorEastAsia"/>
                <w:sz w:val="24"/>
                <w:szCs w:val="24"/>
                <w:lang w:eastAsia="zh-CN"/>
              </w:rPr>
            </w:pPr>
            <w:r>
              <w:rPr>
                <w:rFonts w:hint="eastAsia" w:cs="宋体" w:asciiTheme="minorEastAsia" w:hAnsiTheme="minorEastAsia"/>
                <w:sz w:val="24"/>
                <w:szCs w:val="24"/>
              </w:rPr>
              <w:t>法律、法规和招标文件规定的其他无效情形</w:t>
            </w:r>
            <w:r>
              <w:rPr>
                <w:rFonts w:hint="eastAsia" w:cs="宋体" w:asciiTheme="minorEastAsia" w:hAnsiTheme="minorEastAsia"/>
                <w:sz w:val="24"/>
                <w:szCs w:val="24"/>
                <w:lang w:eastAsia="zh-CN"/>
              </w:rPr>
              <w:t>。</w:t>
            </w:r>
          </w:p>
        </w:tc>
        <w:tc>
          <w:tcPr>
            <w:tcW w:w="1354" w:type="dxa"/>
            <w:vAlign w:val="center"/>
          </w:tcPr>
          <w:p w14:paraId="073BAAFB">
            <w:pPr>
              <w:spacing w:line="360" w:lineRule="auto"/>
              <w:jc w:val="center"/>
              <w:rPr>
                <w:rFonts w:cs="宋体" w:asciiTheme="minorEastAsia" w:hAnsiTheme="minorEastAsia"/>
                <w:sz w:val="24"/>
                <w:szCs w:val="24"/>
              </w:rPr>
            </w:pPr>
            <w:r>
              <w:rPr>
                <w:rFonts w:hint="eastAsia" w:cs="宋体" w:asciiTheme="minorEastAsia" w:hAnsiTheme="minorEastAsia"/>
                <w:sz w:val="24"/>
                <w:szCs w:val="24"/>
              </w:rPr>
              <w:t>重要指标</w:t>
            </w:r>
          </w:p>
        </w:tc>
      </w:tr>
      <w:tr w14:paraId="051C4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9" w:hRule="atLeast"/>
          <w:jc w:val="center"/>
        </w:trPr>
        <w:tc>
          <w:tcPr>
            <w:tcW w:w="1412" w:type="dxa"/>
            <w:gridSpan w:val="2"/>
            <w:vAlign w:val="center"/>
          </w:tcPr>
          <w:p w14:paraId="3BF0CE3F">
            <w:pPr>
              <w:adjustRightInd w:val="0"/>
              <w:snapToGrid w:val="0"/>
              <w:jc w:val="center"/>
              <w:rPr>
                <w:rFonts w:cs="宋体" w:asciiTheme="minorEastAsia" w:hAnsiTheme="minorEastAsia"/>
                <w:sz w:val="24"/>
                <w:szCs w:val="24"/>
              </w:rPr>
            </w:pPr>
            <w:r>
              <w:rPr>
                <w:rFonts w:hint="eastAsia" w:cs="宋体" w:asciiTheme="minorEastAsia" w:hAnsiTheme="minorEastAsia"/>
                <w:kern w:val="0"/>
                <w:sz w:val="24"/>
                <w:szCs w:val="24"/>
              </w:rPr>
              <w:t>2.2.1</w:t>
            </w:r>
          </w:p>
        </w:tc>
        <w:tc>
          <w:tcPr>
            <w:tcW w:w="1906" w:type="dxa"/>
            <w:vAlign w:val="center"/>
          </w:tcPr>
          <w:p w14:paraId="6D4B87B1">
            <w:pPr>
              <w:adjustRightInd w:val="0"/>
              <w:snapToGrid w:val="0"/>
              <w:jc w:val="center"/>
              <w:rPr>
                <w:rFonts w:cs="宋体" w:asciiTheme="minorEastAsia" w:hAnsiTheme="minorEastAsia"/>
                <w:sz w:val="24"/>
                <w:szCs w:val="24"/>
              </w:rPr>
            </w:pPr>
            <w:r>
              <w:rPr>
                <w:rFonts w:hint="eastAsia" w:cs="宋体" w:asciiTheme="minorEastAsia" w:hAnsiTheme="minorEastAsia"/>
                <w:sz w:val="24"/>
                <w:szCs w:val="24"/>
              </w:rPr>
              <w:t>分值构成</w:t>
            </w:r>
          </w:p>
        </w:tc>
        <w:tc>
          <w:tcPr>
            <w:tcW w:w="6087" w:type="dxa"/>
            <w:vAlign w:val="center"/>
          </w:tcPr>
          <w:p w14:paraId="2494BBFB">
            <w:pPr>
              <w:adjustRightInd w:val="0"/>
              <w:snapToGrid w:val="0"/>
              <w:jc w:val="left"/>
              <w:rPr>
                <w:rFonts w:cs="宋体" w:asciiTheme="minorEastAsia" w:hAnsiTheme="minorEastAsia"/>
                <w:sz w:val="24"/>
                <w:szCs w:val="24"/>
              </w:rPr>
            </w:pPr>
            <w:r>
              <w:rPr>
                <w:rFonts w:hint="eastAsia" w:cs="宋体" w:asciiTheme="minorEastAsia" w:hAnsiTheme="minorEastAsia"/>
                <w:sz w:val="24"/>
                <w:szCs w:val="24"/>
              </w:rPr>
              <w:t>商务部分：</w:t>
            </w:r>
            <w:r>
              <w:rPr>
                <w:rFonts w:hint="eastAsia" w:cs="宋体" w:asciiTheme="minorEastAsia" w:hAnsiTheme="minorEastAsia"/>
                <w:sz w:val="24"/>
                <w:szCs w:val="24"/>
                <w:lang w:val="en-US" w:eastAsia="zh-CN"/>
              </w:rPr>
              <w:t>15</w:t>
            </w:r>
            <w:r>
              <w:rPr>
                <w:rFonts w:hint="eastAsia" w:cs="宋体" w:asciiTheme="minorEastAsia" w:hAnsiTheme="minorEastAsia"/>
                <w:sz w:val="24"/>
                <w:szCs w:val="24"/>
              </w:rPr>
              <w:t>分</w:t>
            </w:r>
          </w:p>
          <w:p w14:paraId="7B53921F">
            <w:pPr>
              <w:adjustRightInd w:val="0"/>
              <w:snapToGrid w:val="0"/>
              <w:jc w:val="left"/>
              <w:rPr>
                <w:rFonts w:cs="宋体" w:asciiTheme="minorEastAsia" w:hAnsiTheme="minorEastAsia"/>
                <w:sz w:val="24"/>
                <w:szCs w:val="24"/>
              </w:rPr>
            </w:pPr>
            <w:r>
              <w:rPr>
                <w:rFonts w:hint="eastAsia" w:cs="宋体" w:asciiTheme="minorEastAsia" w:hAnsiTheme="minorEastAsia"/>
                <w:sz w:val="24"/>
                <w:szCs w:val="24"/>
              </w:rPr>
              <w:t>技术部分：</w:t>
            </w:r>
            <w:r>
              <w:rPr>
                <w:rFonts w:hint="eastAsia" w:cs="宋体" w:asciiTheme="minorEastAsia" w:hAnsiTheme="minorEastAsia"/>
                <w:sz w:val="24"/>
                <w:szCs w:val="24"/>
                <w:lang w:val="en-US" w:eastAsia="zh-CN"/>
              </w:rPr>
              <w:t>55</w:t>
            </w:r>
            <w:r>
              <w:rPr>
                <w:rFonts w:hint="eastAsia" w:cs="宋体" w:asciiTheme="minorEastAsia" w:hAnsiTheme="minorEastAsia"/>
                <w:sz w:val="24"/>
                <w:szCs w:val="24"/>
              </w:rPr>
              <w:t>分</w:t>
            </w:r>
          </w:p>
          <w:p w14:paraId="63627C7F">
            <w:pPr>
              <w:adjustRightInd w:val="0"/>
              <w:snapToGrid w:val="0"/>
              <w:jc w:val="left"/>
              <w:rPr>
                <w:rFonts w:cs="宋体" w:asciiTheme="minorEastAsia" w:hAnsiTheme="minorEastAsia"/>
                <w:sz w:val="24"/>
                <w:szCs w:val="24"/>
              </w:rPr>
            </w:pPr>
            <w:r>
              <w:rPr>
                <w:rFonts w:hint="eastAsia" w:cs="宋体" w:asciiTheme="minorEastAsia" w:hAnsiTheme="minorEastAsia"/>
                <w:sz w:val="24"/>
                <w:szCs w:val="24"/>
              </w:rPr>
              <w:t>投标报价：</w:t>
            </w:r>
            <w:r>
              <w:rPr>
                <w:rFonts w:hint="eastAsia" w:cs="宋体" w:asciiTheme="minorEastAsia" w:hAnsiTheme="minorEastAsia"/>
                <w:sz w:val="24"/>
                <w:szCs w:val="24"/>
                <w:lang w:val="en-US" w:eastAsia="zh-CN"/>
              </w:rPr>
              <w:t>3</w:t>
            </w:r>
            <w:r>
              <w:rPr>
                <w:rFonts w:hint="eastAsia" w:cs="宋体" w:asciiTheme="minorEastAsia" w:hAnsiTheme="minorEastAsia"/>
                <w:sz w:val="24"/>
                <w:szCs w:val="24"/>
              </w:rPr>
              <w:t>0分</w:t>
            </w:r>
          </w:p>
        </w:tc>
        <w:tc>
          <w:tcPr>
            <w:tcW w:w="1354" w:type="dxa"/>
            <w:vAlign w:val="center"/>
          </w:tcPr>
          <w:p w14:paraId="7BC74D8C">
            <w:pPr>
              <w:spacing w:line="360" w:lineRule="auto"/>
              <w:ind w:left="600" w:hanging="600" w:hangingChars="250"/>
              <w:jc w:val="center"/>
              <w:rPr>
                <w:rFonts w:hint="eastAsia" w:cs="宋体" w:asciiTheme="minorEastAsia" w:hAnsiTheme="minorEastAsia"/>
                <w:sz w:val="24"/>
              </w:rPr>
            </w:pPr>
            <w:r>
              <w:rPr>
                <w:rFonts w:hint="eastAsia" w:cs="宋体" w:asciiTheme="minorEastAsia" w:hAnsiTheme="minorEastAsia"/>
                <w:sz w:val="24"/>
              </w:rPr>
              <w:t>总分：</w:t>
            </w:r>
          </w:p>
          <w:p w14:paraId="51940D76">
            <w:pPr>
              <w:spacing w:line="360" w:lineRule="auto"/>
              <w:ind w:left="600" w:hanging="600" w:hangingChars="250"/>
              <w:jc w:val="center"/>
              <w:rPr>
                <w:rFonts w:cs="宋体" w:asciiTheme="minorEastAsia" w:hAnsiTheme="minorEastAsia"/>
                <w:sz w:val="24"/>
              </w:rPr>
            </w:pPr>
            <w:r>
              <w:rPr>
                <w:rFonts w:hint="eastAsia" w:cs="宋体" w:asciiTheme="minorEastAsia" w:hAnsiTheme="minorEastAsia"/>
                <w:sz w:val="24"/>
              </w:rPr>
              <w:t>100分</w:t>
            </w:r>
          </w:p>
        </w:tc>
      </w:tr>
    </w:tbl>
    <w:p w14:paraId="604043D8">
      <w:pPr>
        <w:spacing w:line="360" w:lineRule="auto"/>
        <w:ind w:firstLine="424" w:firstLineChars="177"/>
        <w:jc w:val="left"/>
        <w:rPr>
          <w:rFonts w:asciiTheme="minorEastAsia" w:hAnsiTheme="minorEastAsia"/>
          <w:sz w:val="24"/>
          <w:szCs w:val="24"/>
        </w:rPr>
      </w:pPr>
    </w:p>
    <w:tbl>
      <w:tblPr>
        <w:tblStyle w:val="11"/>
        <w:tblW w:w="107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907"/>
        <w:gridCol w:w="6086"/>
        <w:gridCol w:w="1354"/>
      </w:tblGrid>
      <w:tr w14:paraId="6E2DA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blHeader/>
          <w:jc w:val="center"/>
        </w:trPr>
        <w:tc>
          <w:tcPr>
            <w:tcW w:w="1412" w:type="dxa"/>
            <w:shd w:val="clear" w:color="auto" w:fill="D8D8D8" w:themeFill="background1" w:themeFillShade="D9"/>
            <w:vAlign w:val="center"/>
          </w:tcPr>
          <w:p w14:paraId="4FC173E8">
            <w:pPr>
              <w:adjustRightInd w:val="0"/>
              <w:snapToGrid w:val="0"/>
              <w:jc w:val="center"/>
              <w:rPr>
                <w:rFonts w:cs="宋体" w:asciiTheme="minorEastAsia" w:hAnsiTheme="minorEastAsia"/>
                <w:sz w:val="24"/>
                <w:szCs w:val="24"/>
              </w:rPr>
            </w:pPr>
            <w:r>
              <w:rPr>
                <w:rFonts w:hint="eastAsia" w:cs="宋体" w:asciiTheme="minorEastAsia" w:hAnsiTheme="minorEastAsia"/>
                <w:sz w:val="24"/>
                <w:szCs w:val="24"/>
              </w:rPr>
              <w:t>条款号</w:t>
            </w:r>
          </w:p>
        </w:tc>
        <w:tc>
          <w:tcPr>
            <w:tcW w:w="1907" w:type="dxa"/>
            <w:shd w:val="clear" w:color="auto" w:fill="D8D8D8" w:themeFill="background1" w:themeFillShade="D9"/>
            <w:vAlign w:val="center"/>
          </w:tcPr>
          <w:p w14:paraId="04C8D157">
            <w:pPr>
              <w:adjustRightInd w:val="0"/>
              <w:snapToGrid w:val="0"/>
              <w:jc w:val="center"/>
              <w:rPr>
                <w:rFonts w:cs="宋体" w:asciiTheme="minorEastAsia" w:hAnsiTheme="minorEastAsia"/>
                <w:sz w:val="24"/>
                <w:szCs w:val="24"/>
              </w:rPr>
            </w:pPr>
            <w:r>
              <w:rPr>
                <w:rFonts w:hint="eastAsia" w:cs="宋体" w:asciiTheme="minorEastAsia" w:hAnsiTheme="minorEastAsia"/>
                <w:sz w:val="24"/>
                <w:szCs w:val="24"/>
              </w:rPr>
              <w:t>类别</w:t>
            </w:r>
          </w:p>
        </w:tc>
        <w:tc>
          <w:tcPr>
            <w:tcW w:w="6086" w:type="dxa"/>
            <w:shd w:val="clear" w:color="auto" w:fill="D8D8D8" w:themeFill="background1" w:themeFillShade="D9"/>
            <w:vAlign w:val="center"/>
          </w:tcPr>
          <w:p w14:paraId="2D08CA9F">
            <w:pPr>
              <w:adjustRightInd w:val="0"/>
              <w:snapToGrid w:val="0"/>
              <w:jc w:val="center"/>
              <w:rPr>
                <w:rFonts w:cs="宋体" w:asciiTheme="minorEastAsia" w:hAnsiTheme="minorEastAsia"/>
                <w:sz w:val="24"/>
                <w:szCs w:val="24"/>
              </w:rPr>
            </w:pPr>
            <w:r>
              <w:rPr>
                <w:rFonts w:hint="eastAsia" w:cs="宋体" w:asciiTheme="minorEastAsia" w:hAnsiTheme="minorEastAsia"/>
                <w:sz w:val="24"/>
                <w:szCs w:val="24"/>
              </w:rPr>
              <w:t>评分标准</w:t>
            </w:r>
          </w:p>
        </w:tc>
        <w:tc>
          <w:tcPr>
            <w:tcW w:w="1354" w:type="dxa"/>
            <w:shd w:val="clear" w:color="auto" w:fill="D8D8D8" w:themeFill="background1" w:themeFillShade="D9"/>
            <w:vAlign w:val="center"/>
          </w:tcPr>
          <w:p w14:paraId="4C9BF482">
            <w:pPr>
              <w:spacing w:line="360" w:lineRule="auto"/>
              <w:jc w:val="center"/>
              <w:rPr>
                <w:rFonts w:cs="宋体" w:asciiTheme="minorEastAsia" w:hAnsiTheme="minorEastAsia"/>
                <w:sz w:val="24"/>
              </w:rPr>
            </w:pPr>
            <w:r>
              <w:rPr>
                <w:rFonts w:hint="eastAsia" w:cs="宋体" w:asciiTheme="minorEastAsia" w:hAnsiTheme="minorEastAsia"/>
                <w:sz w:val="24"/>
                <w:szCs w:val="24"/>
              </w:rPr>
              <w:t>分值</w:t>
            </w:r>
          </w:p>
        </w:tc>
      </w:tr>
      <w:tr w14:paraId="7AFB7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1412" w:type="dxa"/>
            <w:vMerge w:val="restart"/>
            <w:vAlign w:val="center"/>
          </w:tcPr>
          <w:p w14:paraId="11C20BC7">
            <w:pPr>
              <w:adjustRightInd w:val="0"/>
              <w:snapToGrid w:val="0"/>
              <w:jc w:val="center"/>
              <w:rPr>
                <w:rFonts w:hint="eastAsia" w:cs="宋体" w:asciiTheme="minorEastAsia" w:hAnsiTheme="minorEastAsia" w:eastAsiaTheme="minorEastAsia"/>
                <w:sz w:val="24"/>
                <w:szCs w:val="24"/>
                <w:lang w:eastAsia="zh-CN"/>
              </w:rPr>
            </w:pPr>
            <w:r>
              <w:rPr>
                <w:rFonts w:hint="eastAsia" w:cs="宋体" w:asciiTheme="minorEastAsia" w:hAnsiTheme="minorEastAsia"/>
                <w:kern w:val="0"/>
                <w:sz w:val="24"/>
                <w:szCs w:val="24"/>
              </w:rPr>
              <w:t>2.2.</w:t>
            </w:r>
            <w:r>
              <w:rPr>
                <w:rFonts w:hint="eastAsia" w:cs="宋体" w:asciiTheme="minorEastAsia" w:hAnsiTheme="minorEastAsia"/>
                <w:kern w:val="0"/>
                <w:sz w:val="24"/>
                <w:szCs w:val="24"/>
                <w:lang w:val="en-US" w:eastAsia="zh-CN"/>
              </w:rPr>
              <w:t>2</w:t>
            </w:r>
          </w:p>
        </w:tc>
        <w:tc>
          <w:tcPr>
            <w:tcW w:w="1907" w:type="dxa"/>
            <w:vMerge w:val="restart"/>
            <w:vAlign w:val="center"/>
          </w:tcPr>
          <w:p w14:paraId="0E8996CE">
            <w:pPr>
              <w:adjustRightInd w:val="0"/>
              <w:snapToGrid w:val="0"/>
              <w:jc w:val="center"/>
              <w:rPr>
                <w:rFonts w:cs="宋体" w:asciiTheme="minorEastAsia" w:hAnsiTheme="minorEastAsia"/>
                <w:sz w:val="24"/>
                <w:szCs w:val="24"/>
              </w:rPr>
            </w:pPr>
            <w:r>
              <w:rPr>
                <w:rFonts w:hint="eastAsia" w:cs="宋体" w:asciiTheme="minorEastAsia" w:hAnsiTheme="minorEastAsia"/>
                <w:sz w:val="24"/>
                <w:szCs w:val="24"/>
              </w:rPr>
              <w:t>商务评分标准</w:t>
            </w:r>
          </w:p>
        </w:tc>
        <w:tc>
          <w:tcPr>
            <w:tcW w:w="6086" w:type="dxa"/>
            <w:vAlign w:val="center"/>
          </w:tcPr>
          <w:p w14:paraId="51FBD688">
            <w:pPr>
              <w:adjustRightInd w:val="0"/>
              <w:snapToGrid w:val="0"/>
              <w:rPr>
                <w:rFonts w:hint="eastAsia" w:cs="宋体" w:asciiTheme="minorEastAsia" w:hAnsiTheme="minorEastAsia" w:eastAsiaTheme="minorEastAsia"/>
                <w:sz w:val="24"/>
                <w:szCs w:val="24"/>
                <w:lang w:eastAsia="zh-CN"/>
              </w:rPr>
            </w:pPr>
            <w:r>
              <w:rPr>
                <w:rFonts w:hint="eastAsia" w:cs="宋体" w:asciiTheme="minorEastAsia" w:hAnsiTheme="minorEastAsia"/>
                <w:sz w:val="24"/>
                <w:szCs w:val="24"/>
                <w:lang w:eastAsia="zh-CN"/>
              </w:rPr>
              <w:t>根据</w:t>
            </w:r>
            <w:r>
              <w:rPr>
                <w:rFonts w:hint="eastAsia" w:cs="宋体" w:asciiTheme="minorEastAsia" w:hAnsiTheme="minorEastAsia"/>
                <w:sz w:val="24"/>
                <w:szCs w:val="24"/>
              </w:rPr>
              <w:t>供应商提供</w:t>
            </w:r>
            <w:r>
              <w:rPr>
                <w:rFonts w:hint="eastAsia" w:cs="宋体" w:asciiTheme="minorEastAsia" w:hAnsiTheme="minorEastAsia"/>
                <w:sz w:val="24"/>
                <w:szCs w:val="24"/>
                <w:lang w:eastAsia="zh-CN"/>
              </w:rPr>
              <w:t>的</w:t>
            </w:r>
            <w:r>
              <w:rPr>
                <w:rFonts w:hint="eastAsia" w:cs="宋体" w:asciiTheme="minorEastAsia" w:hAnsiTheme="minorEastAsia"/>
                <w:sz w:val="24"/>
                <w:szCs w:val="24"/>
              </w:rPr>
              <w:t>近年（</w:t>
            </w:r>
            <w:r>
              <w:rPr>
                <w:rFonts w:hint="eastAsia" w:cs="宋体" w:asciiTheme="minorEastAsia" w:hAnsiTheme="minorEastAsia"/>
                <w:sz w:val="24"/>
                <w:szCs w:val="24"/>
                <w:lang w:val="en-US" w:eastAsia="zh-CN"/>
              </w:rPr>
              <w:t>2020</w:t>
            </w:r>
            <w:r>
              <w:rPr>
                <w:rFonts w:hint="eastAsia" w:cs="宋体" w:asciiTheme="minorEastAsia" w:hAnsiTheme="minorEastAsia"/>
                <w:sz w:val="24"/>
                <w:szCs w:val="24"/>
              </w:rPr>
              <w:t>年至投标截止日）承担过的</w:t>
            </w:r>
            <w:r>
              <w:rPr>
                <w:rFonts w:hint="eastAsia" w:cs="宋体" w:asciiTheme="minorEastAsia" w:hAnsiTheme="minorEastAsia"/>
                <w:sz w:val="24"/>
                <w:szCs w:val="24"/>
                <w:lang w:eastAsia="zh-CN"/>
              </w:rPr>
              <w:t>类似</w:t>
            </w:r>
            <w:r>
              <w:rPr>
                <w:rFonts w:hint="eastAsia" w:cs="宋体" w:asciiTheme="minorEastAsia" w:hAnsiTheme="minorEastAsia"/>
                <w:sz w:val="24"/>
                <w:szCs w:val="24"/>
              </w:rPr>
              <w:t>项目业绩</w:t>
            </w:r>
            <w:r>
              <w:rPr>
                <w:rFonts w:hint="eastAsia" w:cs="宋体" w:asciiTheme="minorEastAsia" w:hAnsiTheme="minorEastAsia"/>
                <w:sz w:val="24"/>
                <w:szCs w:val="24"/>
                <w:lang w:eastAsia="zh-CN"/>
              </w:rPr>
              <w:t>进行评价</w:t>
            </w:r>
            <w:r>
              <w:rPr>
                <w:rFonts w:hint="eastAsia" w:cs="宋体" w:asciiTheme="minorEastAsia" w:hAnsiTheme="minorEastAsia"/>
                <w:sz w:val="24"/>
                <w:szCs w:val="24"/>
              </w:rPr>
              <w:t>，有一项业绩得</w:t>
            </w:r>
            <w:r>
              <w:rPr>
                <w:rFonts w:hint="eastAsia" w:cs="宋体" w:asciiTheme="minorEastAsia" w:hAnsiTheme="minorEastAsia"/>
                <w:sz w:val="24"/>
                <w:szCs w:val="24"/>
                <w:lang w:val="en-US" w:eastAsia="zh-CN"/>
              </w:rPr>
              <w:t>1</w:t>
            </w:r>
            <w:r>
              <w:rPr>
                <w:rFonts w:hint="eastAsia" w:cs="宋体" w:asciiTheme="minorEastAsia" w:hAnsiTheme="minorEastAsia"/>
                <w:sz w:val="24"/>
                <w:szCs w:val="24"/>
              </w:rPr>
              <w:t>分，最高得</w:t>
            </w:r>
            <w:r>
              <w:rPr>
                <w:rFonts w:hint="eastAsia" w:cs="宋体" w:asciiTheme="minorEastAsia" w:hAnsiTheme="minorEastAsia"/>
                <w:sz w:val="24"/>
                <w:szCs w:val="24"/>
                <w:lang w:val="en-US" w:eastAsia="zh-CN"/>
              </w:rPr>
              <w:t>5</w:t>
            </w:r>
            <w:r>
              <w:rPr>
                <w:rFonts w:hint="eastAsia" w:cs="宋体" w:asciiTheme="minorEastAsia" w:hAnsiTheme="minorEastAsia"/>
                <w:sz w:val="24"/>
                <w:szCs w:val="24"/>
              </w:rPr>
              <w:t>分</w:t>
            </w:r>
            <w:r>
              <w:rPr>
                <w:rFonts w:hint="eastAsia" w:cs="宋体" w:asciiTheme="minorEastAsia" w:hAnsiTheme="minorEastAsia"/>
                <w:sz w:val="24"/>
                <w:szCs w:val="24"/>
                <w:lang w:eastAsia="zh-CN"/>
              </w:rPr>
              <w:t>。</w:t>
            </w:r>
          </w:p>
          <w:p w14:paraId="5235D43A">
            <w:pPr>
              <w:adjustRightInd w:val="0"/>
              <w:snapToGrid w:val="0"/>
              <w:rPr>
                <w:rFonts w:hint="eastAsia" w:cs="宋体" w:asciiTheme="minorEastAsia" w:hAnsiTheme="minorEastAsia" w:eastAsiaTheme="minorEastAsia"/>
                <w:b/>
                <w:bCs/>
                <w:sz w:val="24"/>
                <w:szCs w:val="24"/>
                <w:lang w:eastAsia="zh-CN"/>
              </w:rPr>
            </w:pPr>
            <w:r>
              <w:rPr>
                <w:rFonts w:hint="eastAsia" w:cs="宋体" w:asciiTheme="minorEastAsia" w:hAnsiTheme="minorEastAsia"/>
                <w:b/>
                <w:bCs/>
                <w:sz w:val="24"/>
                <w:szCs w:val="24"/>
                <w:lang w:eastAsia="zh-CN"/>
              </w:rPr>
              <w:t>注：</w:t>
            </w:r>
          </w:p>
          <w:p w14:paraId="6213EF0E">
            <w:pPr>
              <w:numPr>
                <w:ilvl w:val="0"/>
                <w:numId w:val="9"/>
              </w:numPr>
              <w:adjustRightInd w:val="0"/>
              <w:snapToGrid w:val="0"/>
              <w:ind w:left="5" w:leftChars="0" w:hanging="5" w:firstLineChars="0"/>
              <w:rPr>
                <w:rFonts w:hint="eastAsia" w:cs="宋体" w:asciiTheme="minorEastAsia" w:hAnsiTheme="minorEastAsia"/>
                <w:b w:val="0"/>
                <w:bCs w:val="0"/>
                <w:sz w:val="24"/>
                <w:szCs w:val="24"/>
              </w:rPr>
            </w:pPr>
            <w:r>
              <w:rPr>
                <w:rFonts w:hint="eastAsia" w:cs="宋体" w:asciiTheme="minorEastAsia" w:hAnsiTheme="minorEastAsia"/>
                <w:b w:val="0"/>
                <w:bCs w:val="0"/>
                <w:sz w:val="24"/>
                <w:szCs w:val="24"/>
              </w:rPr>
              <w:t>类似项目业绩指与本项目</w:t>
            </w:r>
            <w:r>
              <w:rPr>
                <w:rFonts w:hint="eastAsia" w:cs="宋体" w:asciiTheme="minorEastAsia" w:hAnsiTheme="minorEastAsia"/>
                <w:b w:val="0"/>
                <w:bCs w:val="0"/>
                <w:sz w:val="24"/>
                <w:szCs w:val="24"/>
                <w:lang w:eastAsia="zh-CN"/>
              </w:rPr>
              <w:t>类似</w:t>
            </w:r>
            <w:r>
              <w:rPr>
                <w:rFonts w:hint="eastAsia" w:cs="宋体" w:asciiTheme="minorEastAsia" w:hAnsiTheme="minorEastAsia"/>
                <w:b w:val="0"/>
                <w:bCs w:val="0"/>
                <w:sz w:val="24"/>
                <w:szCs w:val="24"/>
              </w:rPr>
              <w:t>的</w:t>
            </w:r>
            <w:r>
              <w:rPr>
                <w:rFonts w:hint="eastAsia" w:cs="宋体" w:asciiTheme="minorEastAsia" w:hAnsiTheme="minorEastAsia"/>
                <w:b w:val="0"/>
                <w:bCs w:val="0"/>
                <w:sz w:val="24"/>
                <w:szCs w:val="24"/>
                <w:lang w:eastAsia="zh-CN"/>
              </w:rPr>
              <w:t>主题美陈、互动体验活动及落地执行</w:t>
            </w:r>
            <w:r>
              <w:rPr>
                <w:rFonts w:hint="eastAsia" w:cs="宋体" w:asciiTheme="minorEastAsia" w:hAnsiTheme="minorEastAsia"/>
                <w:b w:val="0"/>
                <w:bCs w:val="0"/>
                <w:sz w:val="24"/>
                <w:szCs w:val="24"/>
              </w:rPr>
              <w:t>，其</w:t>
            </w:r>
            <w:r>
              <w:rPr>
                <w:rFonts w:hint="eastAsia" w:cs="宋体" w:asciiTheme="minorEastAsia" w:hAnsiTheme="minorEastAsia"/>
                <w:b w:val="0"/>
                <w:bCs w:val="0"/>
                <w:sz w:val="24"/>
                <w:szCs w:val="24"/>
                <w:lang w:eastAsia="zh-CN"/>
              </w:rPr>
              <w:t>项目预算及活动规模相当</w:t>
            </w:r>
            <w:r>
              <w:rPr>
                <w:rFonts w:hint="eastAsia" w:cs="宋体" w:asciiTheme="minorEastAsia" w:hAnsiTheme="minorEastAsia"/>
                <w:b w:val="0"/>
                <w:bCs w:val="0"/>
                <w:sz w:val="24"/>
                <w:szCs w:val="24"/>
              </w:rPr>
              <w:t>。</w:t>
            </w:r>
          </w:p>
          <w:p w14:paraId="5B8FBE6B">
            <w:pPr>
              <w:numPr>
                <w:ilvl w:val="0"/>
                <w:numId w:val="9"/>
              </w:numPr>
              <w:adjustRightInd w:val="0"/>
              <w:snapToGrid w:val="0"/>
              <w:ind w:left="5" w:leftChars="0" w:hanging="5" w:firstLineChars="0"/>
              <w:rPr>
                <w:rFonts w:cs="宋体" w:asciiTheme="minorEastAsia" w:hAnsiTheme="minorEastAsia"/>
                <w:sz w:val="24"/>
                <w:szCs w:val="24"/>
              </w:rPr>
            </w:pPr>
            <w:r>
              <w:rPr>
                <w:rFonts w:hint="eastAsia" w:cs="宋体" w:asciiTheme="minorEastAsia" w:hAnsiTheme="minorEastAsia"/>
                <w:b w:val="0"/>
                <w:bCs w:val="0"/>
                <w:sz w:val="24"/>
                <w:szCs w:val="24"/>
              </w:rPr>
              <w:t>供应商需提供采购合同(含首页、</w:t>
            </w:r>
            <w:r>
              <w:rPr>
                <w:rFonts w:hint="eastAsia" w:cs="宋体" w:asciiTheme="minorEastAsia" w:hAnsiTheme="minorEastAsia"/>
                <w:b w:val="0"/>
                <w:bCs w:val="0"/>
                <w:sz w:val="24"/>
                <w:szCs w:val="24"/>
                <w:lang w:eastAsia="zh-CN"/>
              </w:rPr>
              <w:t>服务</w:t>
            </w:r>
            <w:r>
              <w:rPr>
                <w:rFonts w:hint="eastAsia" w:cs="宋体" w:asciiTheme="minorEastAsia" w:hAnsiTheme="minorEastAsia"/>
                <w:b w:val="0"/>
                <w:bCs w:val="0"/>
                <w:sz w:val="24"/>
                <w:szCs w:val="24"/>
              </w:rPr>
              <w:t>内容、金额数量页、签</w:t>
            </w:r>
            <w:r>
              <w:rPr>
                <w:rFonts w:hint="eastAsia" w:cs="宋体" w:asciiTheme="minorEastAsia" w:hAnsiTheme="minorEastAsia"/>
                <w:b w:val="0"/>
                <w:bCs w:val="0"/>
                <w:sz w:val="24"/>
                <w:szCs w:val="24"/>
                <w:lang w:eastAsia="zh-CN"/>
              </w:rPr>
              <w:t>字</w:t>
            </w:r>
            <w:r>
              <w:rPr>
                <w:rFonts w:hint="eastAsia" w:cs="宋体" w:asciiTheme="minorEastAsia" w:hAnsiTheme="minorEastAsia"/>
                <w:b w:val="0"/>
                <w:bCs w:val="0"/>
                <w:sz w:val="24"/>
                <w:szCs w:val="24"/>
              </w:rPr>
              <w:t>盖章页)复印件，否则业绩不予认可。</w:t>
            </w:r>
          </w:p>
        </w:tc>
        <w:tc>
          <w:tcPr>
            <w:tcW w:w="1354" w:type="dxa"/>
            <w:vAlign w:val="center"/>
          </w:tcPr>
          <w:p w14:paraId="4EB00322">
            <w:pPr>
              <w:spacing w:line="360" w:lineRule="auto"/>
              <w:jc w:val="center"/>
              <w:rPr>
                <w:rFonts w:hint="default" w:cs="宋体" w:asciiTheme="minorEastAsia" w:hAnsiTheme="minorEastAsia" w:eastAsiaTheme="minorEastAsia"/>
                <w:sz w:val="24"/>
                <w:lang w:val="en-US" w:eastAsia="zh-CN"/>
              </w:rPr>
            </w:pPr>
            <w:r>
              <w:rPr>
                <w:rFonts w:hint="eastAsia" w:cs="宋体" w:asciiTheme="minorEastAsia" w:hAnsiTheme="minorEastAsia"/>
                <w:sz w:val="24"/>
                <w:lang w:val="en-US" w:eastAsia="zh-CN"/>
              </w:rPr>
              <w:t>5</w:t>
            </w:r>
          </w:p>
        </w:tc>
      </w:tr>
      <w:tr w14:paraId="718E10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1412" w:type="dxa"/>
            <w:vMerge w:val="continue"/>
            <w:vAlign w:val="center"/>
          </w:tcPr>
          <w:p w14:paraId="25F12D09">
            <w:pPr>
              <w:adjustRightInd w:val="0"/>
              <w:snapToGrid w:val="0"/>
              <w:jc w:val="center"/>
              <w:rPr>
                <w:rFonts w:cs="宋体" w:asciiTheme="minorEastAsia" w:hAnsiTheme="minorEastAsia"/>
                <w:sz w:val="24"/>
                <w:szCs w:val="24"/>
              </w:rPr>
            </w:pPr>
          </w:p>
        </w:tc>
        <w:tc>
          <w:tcPr>
            <w:tcW w:w="1907" w:type="dxa"/>
            <w:vMerge w:val="continue"/>
            <w:vAlign w:val="center"/>
          </w:tcPr>
          <w:p w14:paraId="5C730A06">
            <w:pPr>
              <w:adjustRightInd w:val="0"/>
              <w:snapToGrid w:val="0"/>
              <w:jc w:val="center"/>
              <w:rPr>
                <w:rFonts w:cs="宋体" w:asciiTheme="minorEastAsia" w:hAnsiTheme="minorEastAsia"/>
                <w:sz w:val="24"/>
                <w:szCs w:val="24"/>
              </w:rPr>
            </w:pPr>
          </w:p>
        </w:tc>
        <w:tc>
          <w:tcPr>
            <w:tcW w:w="6086" w:type="dxa"/>
            <w:vAlign w:val="center"/>
          </w:tcPr>
          <w:p w14:paraId="316AE1AC">
            <w:pPr>
              <w:adjustRightInd w:val="0"/>
              <w:snapToGrid w:val="0"/>
              <w:rPr>
                <w:rFonts w:hint="eastAsia" w:cs="宋体" w:asciiTheme="minorEastAsia" w:hAnsiTheme="minorEastAsia" w:eastAsiaTheme="minorEastAsia"/>
                <w:sz w:val="24"/>
                <w:szCs w:val="24"/>
                <w:lang w:eastAsia="zh-CN"/>
              </w:rPr>
            </w:pPr>
            <w:r>
              <w:rPr>
                <w:rFonts w:hint="eastAsia" w:cs="宋体" w:asciiTheme="minorEastAsia" w:hAnsiTheme="minorEastAsia"/>
                <w:sz w:val="24"/>
                <w:szCs w:val="24"/>
              </w:rPr>
              <w:t>拟投入本项目的团队（除项目负责人）整体能力及人员配置情况</w:t>
            </w:r>
            <w:r>
              <w:rPr>
                <w:rFonts w:hint="eastAsia" w:cs="宋体" w:asciiTheme="minorEastAsia" w:hAnsiTheme="minorEastAsia"/>
                <w:sz w:val="24"/>
                <w:szCs w:val="24"/>
                <w:lang w:eastAsia="zh-CN"/>
              </w:rPr>
              <w:t>（策划</w:t>
            </w:r>
            <w:r>
              <w:rPr>
                <w:rFonts w:hint="eastAsia" w:cs="宋体" w:asciiTheme="minorEastAsia" w:hAnsiTheme="minorEastAsia"/>
                <w:sz w:val="24"/>
                <w:szCs w:val="24"/>
              </w:rPr>
              <w:t>人员、设计人员</w:t>
            </w:r>
            <w:r>
              <w:rPr>
                <w:rFonts w:hint="eastAsia" w:cs="宋体" w:asciiTheme="minorEastAsia" w:hAnsiTheme="minorEastAsia"/>
                <w:sz w:val="24"/>
                <w:szCs w:val="24"/>
                <w:lang w:eastAsia="zh-CN"/>
              </w:rPr>
              <w:t>等）。</w:t>
            </w:r>
          </w:p>
          <w:p w14:paraId="38338669">
            <w:pPr>
              <w:adjustRightInd w:val="0"/>
              <w:snapToGrid w:val="0"/>
              <w:rPr>
                <w:rFonts w:cs="宋体" w:asciiTheme="minorEastAsia" w:hAnsiTheme="minorEastAsia"/>
                <w:sz w:val="24"/>
                <w:szCs w:val="24"/>
              </w:rPr>
            </w:pPr>
            <w:r>
              <w:rPr>
                <w:rFonts w:hint="eastAsia" w:cs="宋体" w:asciiTheme="minorEastAsia" w:hAnsiTheme="minorEastAsia"/>
                <w:sz w:val="24"/>
                <w:szCs w:val="24"/>
              </w:rPr>
              <w:t>注：提供</w:t>
            </w:r>
            <w:r>
              <w:rPr>
                <w:rFonts w:hint="eastAsia" w:cs="宋体" w:asciiTheme="minorEastAsia" w:hAnsiTheme="minorEastAsia"/>
                <w:sz w:val="24"/>
                <w:szCs w:val="24"/>
                <w:lang w:eastAsia="zh-CN"/>
              </w:rPr>
              <w:t>人员名单，附学历、</w:t>
            </w:r>
            <w:r>
              <w:rPr>
                <w:rFonts w:hint="eastAsia" w:cs="宋体" w:asciiTheme="minorEastAsia" w:hAnsiTheme="minorEastAsia"/>
                <w:sz w:val="24"/>
                <w:szCs w:val="24"/>
              </w:rPr>
              <w:t>职称、社保等证明材料，不提供不得分。</w:t>
            </w:r>
          </w:p>
          <w:p w14:paraId="7128B3F0">
            <w:pPr>
              <w:numPr>
                <w:ilvl w:val="0"/>
                <w:numId w:val="10"/>
              </w:numPr>
              <w:adjustRightInd w:val="0"/>
              <w:snapToGrid w:val="0"/>
              <w:ind w:left="0" w:leftChars="0" w:firstLine="0" w:firstLineChars="0"/>
              <w:rPr>
                <w:rFonts w:hint="eastAsia" w:cs="宋体" w:asciiTheme="minorEastAsia" w:hAnsiTheme="minorEastAsia"/>
                <w:sz w:val="24"/>
                <w:szCs w:val="24"/>
              </w:rPr>
            </w:pPr>
            <w:r>
              <w:rPr>
                <w:rFonts w:hint="eastAsia" w:cs="宋体" w:asciiTheme="minorEastAsia" w:hAnsiTheme="minorEastAsia"/>
                <w:sz w:val="24"/>
                <w:szCs w:val="24"/>
              </w:rPr>
              <w:t>人员专业能力较强，有类似</w:t>
            </w:r>
            <w:r>
              <w:rPr>
                <w:rFonts w:hint="eastAsia" w:cs="宋体" w:asciiTheme="minorEastAsia" w:hAnsiTheme="minorEastAsia"/>
                <w:sz w:val="24"/>
                <w:szCs w:val="24"/>
                <w:lang w:eastAsia="zh-CN"/>
              </w:rPr>
              <w:t>项目</w:t>
            </w:r>
            <w:r>
              <w:rPr>
                <w:rFonts w:hint="eastAsia" w:cs="宋体" w:asciiTheme="minorEastAsia" w:hAnsiTheme="minorEastAsia"/>
                <w:sz w:val="24"/>
                <w:szCs w:val="24"/>
              </w:rPr>
              <w:t>业绩</w:t>
            </w:r>
            <w:r>
              <w:rPr>
                <w:rFonts w:hint="eastAsia" w:cs="宋体" w:asciiTheme="minorEastAsia" w:hAnsiTheme="minorEastAsia"/>
                <w:color w:val="auto"/>
                <w:sz w:val="24"/>
                <w:szCs w:val="24"/>
                <w:lang w:eastAsia="zh-CN"/>
              </w:rPr>
              <w:t>（</w:t>
            </w:r>
            <w:r>
              <w:rPr>
                <w:rFonts w:hint="eastAsia" w:cs="宋体" w:asciiTheme="minorEastAsia" w:hAnsiTheme="minorEastAsia"/>
                <w:color w:val="auto"/>
                <w:sz w:val="24"/>
                <w:szCs w:val="24"/>
                <w:lang w:val="en-US" w:eastAsia="zh-CN"/>
              </w:rPr>
              <w:t>4</w:t>
            </w:r>
            <w:r>
              <w:rPr>
                <w:rFonts w:hint="eastAsia" w:cs="宋体" w:asciiTheme="minorEastAsia" w:hAnsiTheme="minorEastAsia"/>
                <w:color w:val="auto"/>
                <w:sz w:val="24"/>
                <w:szCs w:val="24"/>
              </w:rPr>
              <w:t>-</w:t>
            </w:r>
            <w:r>
              <w:rPr>
                <w:rFonts w:hint="eastAsia" w:cs="宋体" w:asciiTheme="minorEastAsia" w:hAnsiTheme="minorEastAsia"/>
                <w:color w:val="auto"/>
                <w:sz w:val="24"/>
                <w:szCs w:val="24"/>
                <w:lang w:val="en-US" w:eastAsia="zh-CN"/>
              </w:rPr>
              <w:t>5</w:t>
            </w:r>
            <w:r>
              <w:rPr>
                <w:rFonts w:hint="eastAsia" w:cs="宋体" w:asciiTheme="minorEastAsia" w:hAnsiTheme="minorEastAsia"/>
                <w:color w:val="auto"/>
                <w:sz w:val="24"/>
                <w:szCs w:val="24"/>
              </w:rPr>
              <w:t>分</w:t>
            </w:r>
            <w:r>
              <w:rPr>
                <w:rFonts w:hint="eastAsia" w:cs="宋体" w:asciiTheme="minorEastAsia" w:hAnsiTheme="minorEastAsia"/>
                <w:color w:val="auto"/>
                <w:sz w:val="24"/>
                <w:szCs w:val="24"/>
                <w:lang w:eastAsia="zh-CN"/>
              </w:rPr>
              <w:t>）</w:t>
            </w:r>
            <w:r>
              <w:rPr>
                <w:rFonts w:hint="eastAsia" w:cs="宋体" w:asciiTheme="minorEastAsia" w:hAnsiTheme="minorEastAsia"/>
                <w:sz w:val="24"/>
                <w:szCs w:val="24"/>
              </w:rPr>
              <w:t>；</w:t>
            </w:r>
          </w:p>
          <w:p w14:paraId="2B8F8630">
            <w:pPr>
              <w:numPr>
                <w:ilvl w:val="0"/>
                <w:numId w:val="10"/>
              </w:numPr>
              <w:adjustRightInd w:val="0"/>
              <w:snapToGrid w:val="0"/>
              <w:ind w:left="0" w:leftChars="0" w:firstLine="0" w:firstLineChars="0"/>
              <w:rPr>
                <w:rFonts w:hint="eastAsia" w:cs="宋体" w:asciiTheme="minorEastAsia" w:hAnsiTheme="minorEastAsia"/>
                <w:sz w:val="24"/>
                <w:szCs w:val="24"/>
              </w:rPr>
            </w:pPr>
            <w:r>
              <w:rPr>
                <w:rFonts w:hint="eastAsia" w:cs="宋体" w:asciiTheme="minorEastAsia" w:hAnsiTheme="minorEastAsia"/>
                <w:sz w:val="24"/>
                <w:szCs w:val="24"/>
                <w:lang w:eastAsia="zh-CN"/>
              </w:rPr>
              <w:t>人员</w:t>
            </w:r>
            <w:r>
              <w:rPr>
                <w:rFonts w:hint="eastAsia" w:cs="宋体" w:asciiTheme="minorEastAsia" w:hAnsiTheme="minorEastAsia"/>
                <w:sz w:val="24"/>
                <w:szCs w:val="24"/>
              </w:rPr>
              <w:t>专业能力一般，有类似</w:t>
            </w:r>
            <w:r>
              <w:rPr>
                <w:rFonts w:hint="eastAsia" w:cs="宋体" w:asciiTheme="minorEastAsia" w:hAnsiTheme="minorEastAsia"/>
                <w:sz w:val="24"/>
                <w:szCs w:val="24"/>
                <w:lang w:eastAsia="zh-CN"/>
              </w:rPr>
              <w:t>项目</w:t>
            </w:r>
            <w:r>
              <w:rPr>
                <w:rFonts w:hint="eastAsia" w:cs="宋体" w:asciiTheme="minorEastAsia" w:hAnsiTheme="minorEastAsia"/>
                <w:sz w:val="24"/>
                <w:szCs w:val="24"/>
              </w:rPr>
              <w:t>业绩</w:t>
            </w:r>
            <w:r>
              <w:rPr>
                <w:rFonts w:hint="eastAsia" w:cs="宋体" w:asciiTheme="minorEastAsia" w:hAnsiTheme="minorEastAsia"/>
                <w:sz w:val="24"/>
                <w:szCs w:val="24"/>
                <w:lang w:eastAsia="zh-CN"/>
              </w:rPr>
              <w:t>（</w:t>
            </w:r>
            <w:r>
              <w:rPr>
                <w:rFonts w:hint="eastAsia" w:cs="宋体" w:asciiTheme="minorEastAsia" w:hAnsiTheme="minorEastAsia"/>
                <w:sz w:val="24"/>
                <w:szCs w:val="24"/>
                <w:lang w:val="en-US" w:eastAsia="zh-CN"/>
              </w:rPr>
              <w:t>2</w:t>
            </w:r>
            <w:r>
              <w:rPr>
                <w:rFonts w:hint="eastAsia" w:cs="宋体" w:asciiTheme="minorEastAsia" w:hAnsiTheme="minorEastAsia"/>
                <w:sz w:val="24"/>
                <w:szCs w:val="24"/>
              </w:rPr>
              <w:t>-</w:t>
            </w:r>
            <w:r>
              <w:rPr>
                <w:rFonts w:hint="eastAsia" w:cs="宋体" w:asciiTheme="minorEastAsia" w:hAnsiTheme="minorEastAsia"/>
                <w:sz w:val="24"/>
                <w:szCs w:val="24"/>
                <w:lang w:val="en-US" w:eastAsia="zh-CN"/>
              </w:rPr>
              <w:t>3</w:t>
            </w:r>
            <w:r>
              <w:rPr>
                <w:rFonts w:hint="eastAsia" w:cs="宋体" w:asciiTheme="minorEastAsia" w:hAnsiTheme="minorEastAsia"/>
                <w:sz w:val="24"/>
                <w:szCs w:val="24"/>
              </w:rPr>
              <w:t>分</w:t>
            </w:r>
            <w:r>
              <w:rPr>
                <w:rFonts w:hint="eastAsia" w:cs="宋体" w:asciiTheme="minorEastAsia" w:hAnsiTheme="minorEastAsia"/>
                <w:sz w:val="24"/>
                <w:szCs w:val="24"/>
                <w:lang w:eastAsia="zh-CN"/>
              </w:rPr>
              <w:t>）</w:t>
            </w:r>
            <w:r>
              <w:rPr>
                <w:rFonts w:hint="eastAsia" w:cs="宋体" w:asciiTheme="minorEastAsia" w:hAnsiTheme="minorEastAsia"/>
                <w:sz w:val="24"/>
                <w:szCs w:val="24"/>
              </w:rPr>
              <w:t>；</w:t>
            </w:r>
          </w:p>
          <w:p w14:paraId="7C4C5ECC">
            <w:pPr>
              <w:numPr>
                <w:ilvl w:val="0"/>
                <w:numId w:val="10"/>
              </w:numPr>
              <w:adjustRightInd w:val="0"/>
              <w:snapToGrid w:val="0"/>
              <w:ind w:left="0" w:leftChars="0" w:firstLine="0" w:firstLineChars="0"/>
              <w:rPr>
                <w:rFonts w:cs="宋体" w:asciiTheme="minorEastAsia" w:hAnsiTheme="minorEastAsia"/>
                <w:sz w:val="24"/>
                <w:szCs w:val="24"/>
              </w:rPr>
            </w:pPr>
            <w:r>
              <w:rPr>
                <w:rFonts w:hint="eastAsia" w:cs="宋体" w:asciiTheme="minorEastAsia" w:hAnsiTheme="minorEastAsia"/>
                <w:sz w:val="24"/>
                <w:szCs w:val="24"/>
                <w:lang w:eastAsia="zh-CN"/>
              </w:rPr>
              <w:t>人员</w:t>
            </w:r>
            <w:r>
              <w:rPr>
                <w:rFonts w:hint="eastAsia" w:cs="宋体" w:asciiTheme="minorEastAsia" w:hAnsiTheme="minorEastAsia"/>
                <w:sz w:val="24"/>
                <w:szCs w:val="24"/>
              </w:rPr>
              <w:t>专业能力较薄弱</w:t>
            </w:r>
            <w:r>
              <w:rPr>
                <w:rFonts w:hint="eastAsia" w:cs="宋体" w:asciiTheme="minorEastAsia" w:hAnsiTheme="minorEastAsia"/>
                <w:sz w:val="24"/>
                <w:szCs w:val="24"/>
                <w:lang w:eastAsia="zh-CN"/>
              </w:rPr>
              <w:t>，</w:t>
            </w:r>
            <w:r>
              <w:rPr>
                <w:rFonts w:hint="eastAsia" w:cs="宋体" w:asciiTheme="minorEastAsia" w:hAnsiTheme="minorEastAsia"/>
                <w:sz w:val="24"/>
                <w:szCs w:val="24"/>
              </w:rPr>
              <w:t>有</w:t>
            </w:r>
            <w:r>
              <w:rPr>
                <w:rFonts w:hint="eastAsia" w:cs="宋体" w:asciiTheme="minorEastAsia" w:hAnsiTheme="minorEastAsia"/>
                <w:sz w:val="24"/>
                <w:szCs w:val="24"/>
                <w:lang w:val="en-US" w:eastAsia="zh-CN"/>
              </w:rPr>
              <w:t>/无</w:t>
            </w:r>
            <w:r>
              <w:rPr>
                <w:rFonts w:hint="eastAsia" w:cs="宋体" w:asciiTheme="minorEastAsia" w:hAnsiTheme="minorEastAsia"/>
                <w:sz w:val="24"/>
                <w:szCs w:val="24"/>
                <w:lang w:eastAsia="zh-CN"/>
              </w:rPr>
              <w:t>类似项目</w:t>
            </w:r>
            <w:r>
              <w:rPr>
                <w:rFonts w:hint="eastAsia" w:cs="宋体" w:asciiTheme="minorEastAsia" w:hAnsiTheme="minorEastAsia"/>
                <w:sz w:val="24"/>
                <w:szCs w:val="24"/>
              </w:rPr>
              <w:t>业绩</w:t>
            </w:r>
            <w:r>
              <w:rPr>
                <w:rFonts w:hint="eastAsia" w:cs="宋体" w:asciiTheme="minorEastAsia" w:hAnsiTheme="minorEastAsia"/>
                <w:sz w:val="24"/>
                <w:szCs w:val="24"/>
                <w:lang w:eastAsia="zh-CN"/>
              </w:rPr>
              <w:t>（</w:t>
            </w:r>
            <w:r>
              <w:rPr>
                <w:rFonts w:hint="eastAsia" w:cs="宋体" w:asciiTheme="minorEastAsia" w:hAnsiTheme="minorEastAsia"/>
                <w:sz w:val="24"/>
                <w:szCs w:val="24"/>
                <w:lang w:val="en-US" w:eastAsia="zh-CN"/>
              </w:rPr>
              <w:t>0</w:t>
            </w:r>
            <w:r>
              <w:rPr>
                <w:rFonts w:hint="eastAsia" w:cs="宋体" w:asciiTheme="minorEastAsia" w:hAnsiTheme="minorEastAsia"/>
                <w:sz w:val="24"/>
                <w:szCs w:val="24"/>
              </w:rPr>
              <w:t>-</w:t>
            </w:r>
            <w:r>
              <w:rPr>
                <w:rFonts w:hint="eastAsia" w:cs="宋体" w:asciiTheme="minorEastAsia" w:hAnsiTheme="minorEastAsia"/>
                <w:sz w:val="24"/>
                <w:szCs w:val="24"/>
                <w:lang w:val="en-US" w:eastAsia="zh-CN"/>
              </w:rPr>
              <w:t>1</w:t>
            </w:r>
            <w:r>
              <w:rPr>
                <w:rFonts w:hint="eastAsia" w:cs="宋体" w:asciiTheme="minorEastAsia" w:hAnsiTheme="minorEastAsia"/>
                <w:sz w:val="24"/>
                <w:szCs w:val="24"/>
              </w:rPr>
              <w:t>分</w:t>
            </w:r>
            <w:r>
              <w:rPr>
                <w:rFonts w:hint="eastAsia" w:cs="宋体" w:asciiTheme="minorEastAsia" w:hAnsiTheme="minorEastAsia"/>
                <w:sz w:val="24"/>
                <w:szCs w:val="24"/>
                <w:lang w:eastAsia="zh-CN"/>
              </w:rPr>
              <w:t>）。</w:t>
            </w:r>
          </w:p>
        </w:tc>
        <w:tc>
          <w:tcPr>
            <w:tcW w:w="1354" w:type="dxa"/>
            <w:vAlign w:val="center"/>
          </w:tcPr>
          <w:p w14:paraId="7D7802F7">
            <w:pPr>
              <w:spacing w:line="360" w:lineRule="auto"/>
              <w:jc w:val="center"/>
              <w:rPr>
                <w:rFonts w:hint="eastAsia" w:cs="宋体" w:asciiTheme="minorEastAsia" w:hAnsiTheme="minorEastAsia" w:eastAsiaTheme="minorEastAsia"/>
                <w:sz w:val="24"/>
                <w:lang w:eastAsia="zh-CN"/>
              </w:rPr>
            </w:pPr>
            <w:r>
              <w:rPr>
                <w:rFonts w:hint="eastAsia" w:cs="宋体" w:asciiTheme="minorEastAsia" w:hAnsiTheme="minorEastAsia"/>
                <w:sz w:val="24"/>
                <w:lang w:val="en-US" w:eastAsia="zh-CN"/>
              </w:rPr>
              <w:t>5</w:t>
            </w:r>
          </w:p>
        </w:tc>
      </w:tr>
      <w:tr w14:paraId="49E33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1412" w:type="dxa"/>
            <w:vMerge w:val="continue"/>
            <w:vAlign w:val="center"/>
          </w:tcPr>
          <w:p w14:paraId="5C7AE384">
            <w:pPr>
              <w:adjustRightInd w:val="0"/>
              <w:snapToGrid w:val="0"/>
              <w:jc w:val="center"/>
              <w:rPr>
                <w:rFonts w:cs="宋体" w:asciiTheme="minorEastAsia" w:hAnsiTheme="minorEastAsia"/>
                <w:sz w:val="24"/>
                <w:szCs w:val="24"/>
              </w:rPr>
            </w:pPr>
          </w:p>
        </w:tc>
        <w:tc>
          <w:tcPr>
            <w:tcW w:w="1907" w:type="dxa"/>
            <w:vMerge w:val="continue"/>
            <w:vAlign w:val="center"/>
          </w:tcPr>
          <w:p w14:paraId="4138D69B">
            <w:pPr>
              <w:adjustRightInd w:val="0"/>
              <w:snapToGrid w:val="0"/>
              <w:jc w:val="center"/>
              <w:rPr>
                <w:rFonts w:cs="宋体" w:asciiTheme="minorEastAsia" w:hAnsiTheme="minorEastAsia"/>
                <w:sz w:val="24"/>
                <w:szCs w:val="24"/>
              </w:rPr>
            </w:pPr>
          </w:p>
        </w:tc>
        <w:tc>
          <w:tcPr>
            <w:tcW w:w="6086" w:type="dxa"/>
            <w:vAlign w:val="center"/>
          </w:tcPr>
          <w:p w14:paraId="535929C3">
            <w:pPr>
              <w:numPr>
                <w:ilvl w:val="0"/>
                <w:numId w:val="11"/>
              </w:numPr>
              <w:adjustRightInd w:val="0"/>
              <w:snapToGrid w:val="0"/>
              <w:ind w:left="0" w:leftChars="0" w:firstLine="0" w:firstLineChars="0"/>
              <w:rPr>
                <w:rFonts w:hint="eastAsia" w:cs="宋体" w:asciiTheme="minorEastAsia" w:hAnsiTheme="minorEastAsia"/>
                <w:sz w:val="24"/>
                <w:szCs w:val="24"/>
                <w:lang w:val="en-US" w:eastAsia="zh-CN"/>
              </w:rPr>
            </w:pPr>
            <w:r>
              <w:rPr>
                <w:rFonts w:hint="eastAsia" w:cs="宋体" w:asciiTheme="minorEastAsia" w:hAnsiTheme="minorEastAsia"/>
                <w:sz w:val="24"/>
                <w:szCs w:val="24"/>
              </w:rPr>
              <w:t>企业</w:t>
            </w:r>
            <w:r>
              <w:rPr>
                <w:rFonts w:hint="eastAsia" w:cs="宋体" w:asciiTheme="minorEastAsia" w:hAnsiTheme="minorEastAsia"/>
                <w:sz w:val="24"/>
                <w:szCs w:val="24"/>
                <w:lang w:val="en-US" w:eastAsia="zh-CN"/>
              </w:rPr>
              <w:t>注册资本及团队规模</w:t>
            </w:r>
            <w:r>
              <w:rPr>
                <w:rFonts w:hint="eastAsia" w:cs="宋体" w:asciiTheme="minorEastAsia" w:hAnsiTheme="minorEastAsia"/>
                <w:color w:val="auto"/>
                <w:sz w:val="24"/>
                <w:szCs w:val="24"/>
                <w:lang w:eastAsia="zh-CN"/>
              </w:rPr>
              <w:t>（</w:t>
            </w:r>
            <w:r>
              <w:rPr>
                <w:rFonts w:hint="eastAsia" w:cs="宋体" w:asciiTheme="minorEastAsia" w:hAnsiTheme="minorEastAsia"/>
                <w:color w:val="auto"/>
                <w:sz w:val="24"/>
                <w:szCs w:val="24"/>
                <w:lang w:val="en-US" w:eastAsia="zh-CN"/>
              </w:rPr>
              <w:t>0-3分</w:t>
            </w:r>
            <w:r>
              <w:rPr>
                <w:rFonts w:hint="eastAsia" w:cs="宋体" w:asciiTheme="minorEastAsia" w:hAnsiTheme="minorEastAsia"/>
                <w:color w:val="auto"/>
                <w:sz w:val="24"/>
                <w:szCs w:val="24"/>
                <w:lang w:eastAsia="zh-CN"/>
              </w:rPr>
              <w:t>）</w:t>
            </w:r>
          </w:p>
          <w:p w14:paraId="60C2A713">
            <w:pPr>
              <w:adjustRightInd w:val="0"/>
              <w:snapToGrid w:val="0"/>
              <w:rPr>
                <w:rFonts w:hint="eastAsia" w:cs="宋体" w:asciiTheme="minorEastAsia" w:hAnsiTheme="minorEastAsia"/>
                <w:sz w:val="24"/>
                <w:szCs w:val="24"/>
                <w:lang w:val="en-US" w:eastAsia="zh-CN"/>
              </w:rPr>
            </w:pPr>
            <w:r>
              <w:rPr>
                <w:rFonts w:hint="eastAsia" w:cs="宋体" w:asciiTheme="minorEastAsia" w:hAnsiTheme="minorEastAsia"/>
                <w:sz w:val="24"/>
                <w:szCs w:val="24"/>
              </w:rPr>
              <w:t>良好</w:t>
            </w:r>
            <w:r>
              <w:rPr>
                <w:rFonts w:hint="eastAsia" w:cs="宋体" w:asciiTheme="minorEastAsia" w:hAnsiTheme="minorEastAsia"/>
                <w:sz w:val="24"/>
                <w:szCs w:val="24"/>
                <w:lang w:eastAsia="zh-CN"/>
              </w:rPr>
              <w:t>（</w:t>
            </w:r>
            <w:r>
              <w:rPr>
                <w:rFonts w:hint="eastAsia" w:cs="宋体" w:asciiTheme="minorEastAsia" w:hAnsiTheme="minorEastAsia"/>
                <w:sz w:val="24"/>
                <w:szCs w:val="24"/>
                <w:lang w:val="en-US" w:eastAsia="zh-CN"/>
              </w:rPr>
              <w:t>3</w:t>
            </w:r>
            <w:r>
              <w:rPr>
                <w:rFonts w:hint="eastAsia" w:cs="宋体" w:asciiTheme="minorEastAsia" w:hAnsiTheme="minorEastAsia"/>
                <w:sz w:val="24"/>
                <w:szCs w:val="24"/>
              </w:rPr>
              <w:t>分</w:t>
            </w:r>
            <w:r>
              <w:rPr>
                <w:rFonts w:hint="eastAsia" w:cs="宋体" w:asciiTheme="minorEastAsia" w:hAnsiTheme="minorEastAsia"/>
                <w:sz w:val="24"/>
                <w:szCs w:val="24"/>
                <w:lang w:eastAsia="zh-CN"/>
              </w:rPr>
              <w:t>），</w:t>
            </w:r>
            <w:r>
              <w:rPr>
                <w:rFonts w:hint="eastAsia" w:cs="宋体" w:asciiTheme="minorEastAsia" w:hAnsiTheme="minorEastAsia"/>
                <w:sz w:val="24"/>
                <w:szCs w:val="24"/>
              </w:rPr>
              <w:t>一般情况</w:t>
            </w:r>
            <w:r>
              <w:rPr>
                <w:rFonts w:hint="eastAsia" w:cs="宋体" w:asciiTheme="minorEastAsia" w:hAnsiTheme="minorEastAsia"/>
                <w:sz w:val="24"/>
                <w:szCs w:val="24"/>
                <w:lang w:eastAsia="zh-CN"/>
              </w:rPr>
              <w:t>（</w:t>
            </w:r>
            <w:r>
              <w:rPr>
                <w:rFonts w:hint="eastAsia" w:cs="宋体" w:asciiTheme="minorEastAsia" w:hAnsiTheme="minorEastAsia"/>
                <w:sz w:val="24"/>
                <w:szCs w:val="24"/>
                <w:lang w:val="en-US" w:eastAsia="zh-CN"/>
              </w:rPr>
              <w:t>1</w:t>
            </w:r>
            <w:r>
              <w:rPr>
                <w:rFonts w:hint="eastAsia" w:cs="宋体" w:asciiTheme="minorEastAsia" w:hAnsiTheme="minorEastAsia"/>
                <w:sz w:val="24"/>
                <w:szCs w:val="24"/>
              </w:rPr>
              <w:t>-2分</w:t>
            </w:r>
            <w:r>
              <w:rPr>
                <w:rFonts w:hint="eastAsia" w:cs="宋体" w:asciiTheme="minorEastAsia" w:hAnsiTheme="minorEastAsia"/>
                <w:sz w:val="24"/>
                <w:szCs w:val="24"/>
                <w:lang w:eastAsia="zh-CN"/>
              </w:rPr>
              <w:t>）；</w:t>
            </w:r>
          </w:p>
          <w:p w14:paraId="244CDD13">
            <w:pPr>
              <w:numPr>
                <w:ilvl w:val="0"/>
                <w:numId w:val="11"/>
              </w:numPr>
              <w:adjustRightInd w:val="0"/>
              <w:snapToGrid w:val="0"/>
              <w:ind w:left="0" w:leftChars="0" w:firstLine="0" w:firstLineChars="0"/>
              <w:rPr>
                <w:rFonts w:hint="eastAsia" w:cs="宋体" w:asciiTheme="minorEastAsia" w:hAnsiTheme="minorEastAsia"/>
                <w:sz w:val="24"/>
                <w:szCs w:val="24"/>
              </w:rPr>
            </w:pPr>
            <w:r>
              <w:rPr>
                <w:rFonts w:hint="eastAsia" w:cs="宋体" w:asciiTheme="minorEastAsia" w:hAnsiTheme="minorEastAsia"/>
                <w:sz w:val="24"/>
                <w:szCs w:val="24"/>
                <w:lang w:val="en-US" w:eastAsia="zh-CN"/>
              </w:rPr>
              <w:t>企业信誉及风险</w:t>
            </w:r>
            <w:r>
              <w:rPr>
                <w:rFonts w:hint="eastAsia" w:cs="宋体" w:asciiTheme="minorEastAsia" w:hAnsiTheme="minorEastAsia"/>
                <w:sz w:val="24"/>
                <w:szCs w:val="24"/>
              </w:rPr>
              <w:t>情况</w:t>
            </w:r>
            <w:r>
              <w:rPr>
                <w:rFonts w:hint="eastAsia" w:cs="宋体" w:asciiTheme="minorEastAsia" w:hAnsiTheme="minorEastAsia"/>
                <w:color w:val="auto"/>
                <w:sz w:val="24"/>
                <w:szCs w:val="24"/>
                <w:lang w:eastAsia="zh-CN"/>
              </w:rPr>
              <w:t>（</w:t>
            </w:r>
            <w:r>
              <w:rPr>
                <w:rFonts w:hint="eastAsia" w:cs="宋体" w:asciiTheme="minorEastAsia" w:hAnsiTheme="minorEastAsia"/>
                <w:color w:val="auto"/>
                <w:sz w:val="24"/>
                <w:szCs w:val="24"/>
                <w:lang w:val="en-US" w:eastAsia="zh-CN"/>
              </w:rPr>
              <w:t>0-2分</w:t>
            </w:r>
            <w:r>
              <w:rPr>
                <w:rFonts w:hint="eastAsia" w:cs="宋体" w:asciiTheme="minorEastAsia" w:hAnsiTheme="minorEastAsia"/>
                <w:color w:val="auto"/>
                <w:sz w:val="24"/>
                <w:szCs w:val="24"/>
                <w:lang w:eastAsia="zh-CN"/>
              </w:rPr>
              <w:t>）</w:t>
            </w:r>
          </w:p>
          <w:p w14:paraId="2CC2A27F">
            <w:pPr>
              <w:adjustRightInd w:val="0"/>
              <w:snapToGrid w:val="0"/>
              <w:rPr>
                <w:rFonts w:hint="default" w:cs="宋体" w:asciiTheme="minorEastAsia" w:hAnsiTheme="minorEastAsia"/>
                <w:sz w:val="24"/>
                <w:szCs w:val="24"/>
                <w:lang w:val="en-US"/>
              </w:rPr>
            </w:pPr>
            <w:r>
              <w:rPr>
                <w:rFonts w:hint="eastAsia" w:cs="宋体" w:asciiTheme="minorEastAsia" w:hAnsiTheme="minorEastAsia"/>
                <w:sz w:val="24"/>
                <w:szCs w:val="24"/>
              </w:rPr>
              <w:t>良好</w:t>
            </w:r>
            <w:r>
              <w:rPr>
                <w:rFonts w:hint="eastAsia" w:cs="宋体" w:asciiTheme="minorEastAsia" w:hAnsiTheme="minorEastAsia"/>
                <w:sz w:val="24"/>
                <w:szCs w:val="24"/>
                <w:lang w:eastAsia="zh-CN"/>
              </w:rPr>
              <w:t>（</w:t>
            </w:r>
            <w:r>
              <w:rPr>
                <w:rFonts w:hint="eastAsia" w:cs="宋体" w:asciiTheme="minorEastAsia" w:hAnsiTheme="minorEastAsia"/>
                <w:sz w:val="24"/>
                <w:szCs w:val="24"/>
                <w:lang w:val="en-US" w:eastAsia="zh-CN"/>
              </w:rPr>
              <w:t>2</w:t>
            </w:r>
            <w:r>
              <w:rPr>
                <w:rFonts w:hint="eastAsia" w:cs="宋体" w:asciiTheme="minorEastAsia" w:hAnsiTheme="minorEastAsia"/>
                <w:sz w:val="24"/>
                <w:szCs w:val="24"/>
              </w:rPr>
              <w:t>分</w:t>
            </w:r>
            <w:r>
              <w:rPr>
                <w:rFonts w:hint="eastAsia" w:cs="宋体" w:asciiTheme="minorEastAsia" w:hAnsiTheme="minorEastAsia"/>
                <w:sz w:val="24"/>
                <w:szCs w:val="24"/>
                <w:lang w:eastAsia="zh-CN"/>
              </w:rPr>
              <w:t>），</w:t>
            </w:r>
            <w:r>
              <w:rPr>
                <w:rFonts w:hint="eastAsia" w:cs="宋体" w:asciiTheme="minorEastAsia" w:hAnsiTheme="minorEastAsia"/>
                <w:sz w:val="24"/>
                <w:szCs w:val="24"/>
              </w:rPr>
              <w:t>一般情况</w:t>
            </w:r>
            <w:r>
              <w:rPr>
                <w:rFonts w:hint="eastAsia" w:cs="宋体" w:asciiTheme="minorEastAsia" w:hAnsiTheme="minorEastAsia"/>
                <w:sz w:val="24"/>
                <w:szCs w:val="24"/>
                <w:lang w:eastAsia="zh-CN"/>
              </w:rPr>
              <w:t>（</w:t>
            </w:r>
            <w:r>
              <w:rPr>
                <w:rFonts w:hint="eastAsia" w:cs="宋体" w:asciiTheme="minorEastAsia" w:hAnsiTheme="minorEastAsia"/>
                <w:sz w:val="24"/>
                <w:szCs w:val="24"/>
              </w:rPr>
              <w:t>0-</w:t>
            </w:r>
            <w:r>
              <w:rPr>
                <w:rFonts w:hint="eastAsia" w:cs="宋体" w:asciiTheme="minorEastAsia" w:hAnsiTheme="minorEastAsia"/>
                <w:sz w:val="24"/>
                <w:szCs w:val="24"/>
                <w:lang w:val="en-US" w:eastAsia="zh-CN"/>
              </w:rPr>
              <w:t>1</w:t>
            </w:r>
            <w:r>
              <w:rPr>
                <w:rFonts w:hint="eastAsia" w:cs="宋体" w:asciiTheme="minorEastAsia" w:hAnsiTheme="minorEastAsia"/>
                <w:sz w:val="24"/>
                <w:szCs w:val="24"/>
              </w:rPr>
              <w:t>分</w:t>
            </w:r>
            <w:r>
              <w:rPr>
                <w:rFonts w:hint="eastAsia" w:cs="宋体" w:asciiTheme="minorEastAsia" w:hAnsiTheme="minorEastAsia"/>
                <w:sz w:val="24"/>
                <w:szCs w:val="24"/>
                <w:lang w:eastAsia="zh-CN"/>
              </w:rPr>
              <w:t>）。</w:t>
            </w:r>
          </w:p>
        </w:tc>
        <w:tc>
          <w:tcPr>
            <w:tcW w:w="1354" w:type="dxa"/>
            <w:vAlign w:val="center"/>
          </w:tcPr>
          <w:p w14:paraId="6E6F3FC9">
            <w:pPr>
              <w:spacing w:line="360" w:lineRule="auto"/>
              <w:jc w:val="center"/>
              <w:rPr>
                <w:rFonts w:hint="eastAsia" w:cs="宋体" w:asciiTheme="minorEastAsia" w:hAnsiTheme="minorEastAsia" w:eastAsiaTheme="minorEastAsia"/>
                <w:sz w:val="24"/>
                <w:szCs w:val="24"/>
                <w:lang w:eastAsia="zh-CN"/>
              </w:rPr>
            </w:pPr>
            <w:r>
              <w:rPr>
                <w:rFonts w:hint="eastAsia" w:cs="宋体" w:asciiTheme="minorEastAsia" w:hAnsiTheme="minorEastAsia"/>
                <w:sz w:val="24"/>
                <w:szCs w:val="24"/>
                <w:lang w:val="en-US" w:eastAsia="zh-CN"/>
              </w:rPr>
              <w:t>5</w:t>
            </w:r>
          </w:p>
        </w:tc>
      </w:tr>
      <w:tr w14:paraId="519B2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5" w:hRule="atLeast"/>
          <w:jc w:val="center"/>
        </w:trPr>
        <w:tc>
          <w:tcPr>
            <w:tcW w:w="1412" w:type="dxa"/>
            <w:vMerge w:val="restart"/>
            <w:vAlign w:val="center"/>
          </w:tcPr>
          <w:p w14:paraId="68959332">
            <w:pPr>
              <w:adjustRightInd w:val="0"/>
              <w:snapToGrid w:val="0"/>
              <w:jc w:val="center"/>
              <w:rPr>
                <w:rFonts w:hint="eastAsia" w:cs="宋体" w:asciiTheme="minorEastAsia" w:hAnsiTheme="minorEastAsia" w:eastAsiaTheme="minorEastAsia"/>
                <w:sz w:val="24"/>
                <w:szCs w:val="24"/>
                <w:lang w:eastAsia="zh-CN"/>
              </w:rPr>
            </w:pPr>
            <w:r>
              <w:rPr>
                <w:rFonts w:hint="eastAsia" w:cs="宋体" w:asciiTheme="minorEastAsia" w:hAnsiTheme="minorEastAsia"/>
                <w:kern w:val="0"/>
                <w:sz w:val="24"/>
                <w:szCs w:val="24"/>
                <w:lang w:eastAsia="zh-CN"/>
              </w:rPr>
              <w:t>2.2.3</w:t>
            </w:r>
          </w:p>
        </w:tc>
        <w:tc>
          <w:tcPr>
            <w:tcW w:w="1907" w:type="dxa"/>
            <w:vMerge w:val="restart"/>
            <w:vAlign w:val="center"/>
          </w:tcPr>
          <w:p w14:paraId="40EAD640">
            <w:pPr>
              <w:adjustRightInd w:val="0"/>
              <w:snapToGrid w:val="0"/>
              <w:jc w:val="center"/>
              <w:rPr>
                <w:rFonts w:cs="宋体" w:asciiTheme="minorEastAsia" w:hAnsiTheme="minorEastAsia"/>
                <w:sz w:val="24"/>
                <w:szCs w:val="24"/>
              </w:rPr>
            </w:pPr>
            <w:r>
              <w:rPr>
                <w:rFonts w:hint="eastAsia" w:cs="宋体" w:asciiTheme="minorEastAsia" w:hAnsiTheme="minorEastAsia"/>
                <w:sz w:val="24"/>
                <w:szCs w:val="24"/>
              </w:rPr>
              <w:t>技术评分标准</w:t>
            </w:r>
          </w:p>
        </w:tc>
        <w:tc>
          <w:tcPr>
            <w:tcW w:w="6086" w:type="dxa"/>
            <w:vAlign w:val="center"/>
          </w:tcPr>
          <w:p w14:paraId="00F139B2">
            <w:pPr>
              <w:numPr>
                <w:ilvl w:val="0"/>
                <w:numId w:val="12"/>
              </w:numPr>
              <w:adjustRightInd w:val="0"/>
              <w:snapToGrid w:val="0"/>
              <w:ind w:left="0" w:leftChars="0" w:firstLine="0" w:firstLineChars="0"/>
              <w:rPr>
                <w:rFonts w:hint="eastAsia" w:cs="宋体" w:asciiTheme="minorEastAsia" w:hAnsiTheme="minorEastAsia"/>
                <w:color w:val="0000FF"/>
                <w:sz w:val="24"/>
                <w:szCs w:val="24"/>
                <w:lang w:eastAsia="zh-CN"/>
              </w:rPr>
            </w:pPr>
            <w:r>
              <w:rPr>
                <w:rFonts w:hint="eastAsia" w:cs="宋体" w:asciiTheme="minorEastAsia" w:hAnsiTheme="minorEastAsia"/>
                <w:color w:val="0000FF"/>
                <w:sz w:val="24"/>
                <w:szCs w:val="24"/>
                <w:lang w:val="en-US" w:eastAsia="zh-CN"/>
              </w:rPr>
              <w:t>与“附件一：项目服务要求”的内容及要求的匹配程度，符合目标人群需求</w:t>
            </w:r>
            <w:r>
              <w:rPr>
                <w:rFonts w:hint="eastAsia" w:cs="宋体" w:asciiTheme="minorEastAsia" w:hAnsiTheme="minorEastAsia"/>
                <w:color w:val="0000FF"/>
                <w:sz w:val="24"/>
                <w:szCs w:val="24"/>
                <w:lang w:eastAsia="zh-CN"/>
              </w:rPr>
              <w:t>（</w:t>
            </w:r>
            <w:r>
              <w:rPr>
                <w:rFonts w:hint="eastAsia" w:cs="宋体" w:asciiTheme="minorEastAsia" w:hAnsiTheme="minorEastAsia"/>
                <w:color w:val="0000FF"/>
                <w:sz w:val="24"/>
                <w:szCs w:val="24"/>
                <w:lang w:val="en-US" w:eastAsia="zh-CN"/>
              </w:rPr>
              <w:t>0-15分</w:t>
            </w:r>
            <w:r>
              <w:rPr>
                <w:rFonts w:hint="eastAsia" w:cs="宋体" w:asciiTheme="minorEastAsia" w:hAnsiTheme="minorEastAsia"/>
                <w:color w:val="0000FF"/>
                <w:sz w:val="24"/>
                <w:szCs w:val="24"/>
                <w:lang w:eastAsia="zh-CN"/>
              </w:rPr>
              <w:t>）</w:t>
            </w:r>
          </w:p>
          <w:p w14:paraId="2E05D761">
            <w:pPr>
              <w:numPr>
                <w:ilvl w:val="0"/>
                <w:numId w:val="0"/>
              </w:numPr>
              <w:adjustRightInd w:val="0"/>
              <w:snapToGrid w:val="0"/>
              <w:ind w:leftChars="0"/>
              <w:rPr>
                <w:rFonts w:hint="eastAsia" w:cs="宋体" w:asciiTheme="minorEastAsia" w:hAnsiTheme="minorEastAsia"/>
                <w:b w:val="0"/>
                <w:bCs w:val="0"/>
                <w:color w:val="0000FF"/>
                <w:sz w:val="24"/>
                <w:szCs w:val="24"/>
                <w:lang w:val="en-US" w:eastAsia="zh-CN"/>
              </w:rPr>
            </w:pPr>
            <w:r>
              <w:rPr>
                <w:rFonts w:hint="eastAsia" w:cs="宋体" w:asciiTheme="minorEastAsia" w:hAnsiTheme="minorEastAsia"/>
                <w:b w:val="0"/>
                <w:bCs w:val="0"/>
                <w:color w:val="0000FF"/>
                <w:sz w:val="24"/>
                <w:szCs w:val="24"/>
                <w:lang w:val="en-US" w:eastAsia="zh-CN"/>
              </w:rPr>
              <w:t>·高度匹配，并符合目标人群需求（8-15分）；</w:t>
            </w:r>
          </w:p>
          <w:p w14:paraId="4ECE7854">
            <w:pPr>
              <w:numPr>
                <w:ilvl w:val="0"/>
                <w:numId w:val="0"/>
              </w:numPr>
              <w:adjustRightInd w:val="0"/>
              <w:snapToGrid w:val="0"/>
              <w:ind w:leftChars="0"/>
              <w:rPr>
                <w:rFonts w:hint="default" w:cs="宋体" w:asciiTheme="minorEastAsia" w:hAnsiTheme="minorEastAsia"/>
                <w:b w:val="0"/>
                <w:bCs w:val="0"/>
                <w:color w:val="0000FF"/>
                <w:sz w:val="24"/>
                <w:szCs w:val="24"/>
                <w:lang w:val="en-US" w:eastAsia="zh-CN"/>
              </w:rPr>
            </w:pPr>
            <w:r>
              <w:rPr>
                <w:rFonts w:hint="eastAsia" w:cs="宋体" w:asciiTheme="minorEastAsia" w:hAnsiTheme="minorEastAsia"/>
                <w:b w:val="0"/>
                <w:bCs w:val="0"/>
                <w:color w:val="0000FF"/>
                <w:sz w:val="24"/>
                <w:szCs w:val="24"/>
                <w:lang w:val="en-US" w:eastAsia="zh-CN"/>
              </w:rPr>
              <w:t>·部分匹配，并符合目标人群需求（1-7分）；</w:t>
            </w:r>
          </w:p>
          <w:p w14:paraId="4B291AB1">
            <w:pPr>
              <w:numPr>
                <w:ilvl w:val="0"/>
                <w:numId w:val="0"/>
              </w:numPr>
              <w:adjustRightInd w:val="0"/>
              <w:snapToGrid w:val="0"/>
              <w:ind w:leftChars="0"/>
              <w:rPr>
                <w:rFonts w:hint="default" w:cs="宋体" w:asciiTheme="minorEastAsia" w:hAnsiTheme="minorEastAsia"/>
                <w:b w:val="0"/>
                <w:bCs w:val="0"/>
                <w:color w:val="0000FF"/>
                <w:sz w:val="24"/>
                <w:szCs w:val="24"/>
                <w:lang w:val="en-US" w:eastAsia="zh-CN"/>
              </w:rPr>
            </w:pPr>
            <w:r>
              <w:rPr>
                <w:rFonts w:hint="eastAsia" w:cs="宋体" w:asciiTheme="minorEastAsia" w:hAnsiTheme="minorEastAsia"/>
                <w:b w:val="0"/>
                <w:bCs w:val="0"/>
                <w:color w:val="0000FF"/>
                <w:sz w:val="24"/>
                <w:szCs w:val="24"/>
                <w:lang w:val="en-US" w:eastAsia="zh-CN"/>
              </w:rPr>
              <w:t>·完全不匹配，并不符合目标人群需求（0分）；</w:t>
            </w:r>
          </w:p>
        </w:tc>
        <w:tc>
          <w:tcPr>
            <w:tcW w:w="1354" w:type="dxa"/>
            <w:vAlign w:val="center"/>
          </w:tcPr>
          <w:p w14:paraId="41EDA5FE">
            <w:pPr>
              <w:spacing w:line="360" w:lineRule="auto"/>
              <w:jc w:val="center"/>
              <w:rPr>
                <w:rFonts w:hint="default" w:cs="宋体" w:asciiTheme="minorEastAsia" w:hAnsiTheme="minorEastAsia" w:eastAsiaTheme="minorEastAsia"/>
                <w:b w:val="0"/>
                <w:bCs w:val="0"/>
                <w:color w:val="0000FF"/>
                <w:sz w:val="24"/>
                <w:lang w:val="en-US" w:eastAsia="zh-CN"/>
              </w:rPr>
            </w:pPr>
            <w:r>
              <w:rPr>
                <w:rFonts w:hint="eastAsia" w:cs="宋体" w:asciiTheme="minorEastAsia" w:hAnsiTheme="minorEastAsia"/>
                <w:b w:val="0"/>
                <w:bCs w:val="0"/>
                <w:color w:val="0000FF"/>
                <w:sz w:val="24"/>
                <w:lang w:val="en-US" w:eastAsia="zh-CN"/>
              </w:rPr>
              <w:t>15</w:t>
            </w:r>
          </w:p>
        </w:tc>
      </w:tr>
      <w:tr w14:paraId="6F60B0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2" w:hRule="atLeast"/>
          <w:jc w:val="center"/>
        </w:trPr>
        <w:tc>
          <w:tcPr>
            <w:tcW w:w="1412" w:type="dxa"/>
            <w:vMerge w:val="continue"/>
            <w:vAlign w:val="center"/>
          </w:tcPr>
          <w:p w14:paraId="44B720E3">
            <w:pPr>
              <w:adjustRightInd w:val="0"/>
              <w:snapToGrid w:val="0"/>
              <w:jc w:val="center"/>
              <w:rPr>
                <w:rFonts w:hint="eastAsia" w:cs="宋体" w:asciiTheme="minorEastAsia" w:hAnsiTheme="minorEastAsia"/>
                <w:kern w:val="0"/>
                <w:sz w:val="24"/>
                <w:szCs w:val="24"/>
              </w:rPr>
            </w:pPr>
          </w:p>
        </w:tc>
        <w:tc>
          <w:tcPr>
            <w:tcW w:w="1907" w:type="dxa"/>
            <w:vMerge w:val="continue"/>
            <w:vAlign w:val="center"/>
          </w:tcPr>
          <w:p w14:paraId="39EA8CFD">
            <w:pPr>
              <w:adjustRightInd w:val="0"/>
              <w:snapToGrid w:val="0"/>
              <w:jc w:val="center"/>
              <w:rPr>
                <w:rFonts w:hint="eastAsia" w:cs="宋体" w:asciiTheme="minorEastAsia" w:hAnsiTheme="minorEastAsia"/>
                <w:sz w:val="24"/>
                <w:szCs w:val="24"/>
              </w:rPr>
            </w:pPr>
          </w:p>
        </w:tc>
        <w:tc>
          <w:tcPr>
            <w:tcW w:w="6086" w:type="dxa"/>
            <w:vAlign w:val="center"/>
          </w:tcPr>
          <w:p w14:paraId="7B3F9275">
            <w:pPr>
              <w:numPr>
                <w:ilvl w:val="0"/>
                <w:numId w:val="12"/>
              </w:numPr>
              <w:adjustRightInd w:val="0"/>
              <w:snapToGrid w:val="0"/>
              <w:ind w:left="0" w:leftChars="0" w:firstLine="0" w:firstLineChars="0"/>
              <w:rPr>
                <w:rFonts w:hint="eastAsia" w:cs="宋体" w:asciiTheme="minorEastAsia" w:hAnsiTheme="minorEastAsia"/>
                <w:color w:val="0000FF"/>
                <w:sz w:val="24"/>
                <w:szCs w:val="24"/>
                <w:lang w:val="en-US" w:eastAsia="zh-CN"/>
              </w:rPr>
            </w:pPr>
            <w:r>
              <w:rPr>
                <w:rFonts w:hint="eastAsia" w:cs="宋体" w:asciiTheme="minorEastAsia" w:hAnsiTheme="minorEastAsia"/>
                <w:color w:val="0000FF"/>
                <w:sz w:val="24"/>
                <w:szCs w:val="24"/>
                <w:lang w:val="en-US" w:eastAsia="zh-CN"/>
              </w:rPr>
              <w:t>摄影展布展、主题红框摆放等重点需求执行方案的美观艺术性、适配性、安全性（0-15分）</w:t>
            </w:r>
          </w:p>
          <w:p w14:paraId="08B6F6E5">
            <w:pPr>
              <w:numPr>
                <w:ilvl w:val="0"/>
                <w:numId w:val="0"/>
              </w:numPr>
              <w:adjustRightInd w:val="0"/>
              <w:snapToGrid w:val="0"/>
              <w:ind w:leftChars="0"/>
              <w:rPr>
                <w:rFonts w:hint="default" w:cs="宋体" w:asciiTheme="minorEastAsia" w:hAnsiTheme="minorEastAsia"/>
                <w:color w:val="0000FF"/>
                <w:sz w:val="24"/>
                <w:szCs w:val="24"/>
                <w:lang w:val="en-US" w:eastAsia="zh-CN"/>
              </w:rPr>
            </w:pPr>
            <w:r>
              <w:rPr>
                <w:rFonts w:hint="eastAsia" w:cs="宋体" w:asciiTheme="minorEastAsia" w:hAnsiTheme="minorEastAsia"/>
                <w:color w:val="0000FF"/>
                <w:sz w:val="24"/>
                <w:szCs w:val="24"/>
                <w:lang w:val="en-US" w:eastAsia="zh-CN"/>
              </w:rPr>
              <w:t>·美观艺术性高、适配性高、安全性高（10-15分）；</w:t>
            </w:r>
          </w:p>
          <w:p w14:paraId="1450973E">
            <w:pPr>
              <w:numPr>
                <w:ilvl w:val="0"/>
                <w:numId w:val="0"/>
              </w:numPr>
              <w:adjustRightInd w:val="0"/>
              <w:snapToGrid w:val="0"/>
              <w:ind w:leftChars="0"/>
              <w:rPr>
                <w:rFonts w:hint="eastAsia" w:cs="宋体" w:asciiTheme="minorEastAsia" w:hAnsiTheme="minorEastAsia"/>
                <w:color w:val="0000FF"/>
                <w:sz w:val="24"/>
                <w:szCs w:val="24"/>
                <w:lang w:val="en-US" w:eastAsia="zh-CN"/>
              </w:rPr>
            </w:pPr>
            <w:r>
              <w:rPr>
                <w:rFonts w:hint="eastAsia" w:cs="宋体" w:asciiTheme="minorEastAsia" w:hAnsiTheme="minorEastAsia"/>
                <w:color w:val="0000FF"/>
                <w:sz w:val="24"/>
                <w:szCs w:val="24"/>
                <w:lang w:val="en-US" w:eastAsia="zh-CN"/>
              </w:rPr>
              <w:t>·其中两项效果较好，一项较差（5-9分）；</w:t>
            </w:r>
          </w:p>
          <w:p w14:paraId="0EF10D91">
            <w:pPr>
              <w:numPr>
                <w:ilvl w:val="0"/>
                <w:numId w:val="0"/>
              </w:numPr>
              <w:adjustRightInd w:val="0"/>
              <w:snapToGrid w:val="0"/>
              <w:ind w:leftChars="0"/>
              <w:rPr>
                <w:rFonts w:hint="eastAsia" w:cs="宋体" w:asciiTheme="minorEastAsia" w:hAnsiTheme="minorEastAsia"/>
                <w:color w:val="0000FF"/>
                <w:sz w:val="24"/>
                <w:szCs w:val="24"/>
                <w:lang w:val="en-US" w:eastAsia="zh-CN"/>
              </w:rPr>
            </w:pPr>
            <w:r>
              <w:rPr>
                <w:rFonts w:hint="eastAsia" w:cs="宋体" w:asciiTheme="minorEastAsia" w:hAnsiTheme="minorEastAsia"/>
                <w:color w:val="0000FF"/>
                <w:sz w:val="24"/>
                <w:szCs w:val="24"/>
                <w:lang w:val="en-US" w:eastAsia="zh-CN"/>
              </w:rPr>
              <w:t>·其中一项效果较好，两项较差（1-4分）；</w:t>
            </w:r>
          </w:p>
          <w:p w14:paraId="7A1F76E9">
            <w:pPr>
              <w:numPr>
                <w:ilvl w:val="0"/>
                <w:numId w:val="0"/>
              </w:numPr>
              <w:adjustRightInd w:val="0"/>
              <w:snapToGrid w:val="0"/>
              <w:ind w:leftChars="0"/>
              <w:rPr>
                <w:rFonts w:hint="eastAsia" w:cs="宋体" w:asciiTheme="minorEastAsia" w:hAnsiTheme="minorEastAsia"/>
                <w:color w:val="auto"/>
                <w:sz w:val="24"/>
                <w:szCs w:val="24"/>
                <w:lang w:val="en-US" w:eastAsia="zh-CN"/>
              </w:rPr>
            </w:pPr>
            <w:r>
              <w:rPr>
                <w:rFonts w:hint="eastAsia" w:cs="宋体" w:asciiTheme="minorEastAsia" w:hAnsiTheme="minorEastAsia"/>
                <w:color w:val="0000FF"/>
                <w:sz w:val="24"/>
                <w:szCs w:val="24"/>
                <w:lang w:val="en-US" w:eastAsia="zh-CN"/>
              </w:rPr>
              <w:t>·以上三项整体效果均较差（0分）；</w:t>
            </w:r>
          </w:p>
        </w:tc>
        <w:tc>
          <w:tcPr>
            <w:tcW w:w="1354" w:type="dxa"/>
            <w:vAlign w:val="center"/>
          </w:tcPr>
          <w:p w14:paraId="3168D102">
            <w:pPr>
              <w:spacing w:line="360" w:lineRule="auto"/>
              <w:ind w:left="600" w:leftChars="0" w:hanging="600" w:hangingChars="250"/>
              <w:jc w:val="center"/>
              <w:rPr>
                <w:rFonts w:hint="default" w:cs="宋体" w:asciiTheme="minorEastAsia" w:hAnsiTheme="minorEastAsia" w:eastAsiaTheme="minorEastAsia"/>
                <w:b w:val="0"/>
                <w:bCs w:val="0"/>
                <w:sz w:val="24"/>
                <w:lang w:val="en-US" w:eastAsia="zh-CN"/>
              </w:rPr>
            </w:pPr>
            <w:r>
              <w:rPr>
                <w:rFonts w:hint="eastAsia" w:cs="宋体" w:asciiTheme="minorEastAsia" w:hAnsiTheme="minorEastAsia"/>
                <w:b w:val="0"/>
                <w:bCs w:val="0"/>
                <w:color w:val="0000FF"/>
                <w:sz w:val="24"/>
                <w:lang w:val="en-US" w:eastAsia="zh-CN"/>
              </w:rPr>
              <w:t>15</w:t>
            </w:r>
          </w:p>
        </w:tc>
      </w:tr>
      <w:tr w14:paraId="76218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5" w:hRule="atLeast"/>
          <w:jc w:val="center"/>
        </w:trPr>
        <w:tc>
          <w:tcPr>
            <w:tcW w:w="1412" w:type="dxa"/>
            <w:vMerge w:val="continue"/>
            <w:vAlign w:val="center"/>
          </w:tcPr>
          <w:p w14:paraId="39930A1B">
            <w:pPr>
              <w:adjustRightInd w:val="0"/>
              <w:snapToGrid w:val="0"/>
              <w:jc w:val="center"/>
              <w:rPr>
                <w:rFonts w:hint="eastAsia" w:cs="宋体" w:asciiTheme="minorEastAsia" w:hAnsiTheme="minorEastAsia"/>
                <w:kern w:val="0"/>
                <w:sz w:val="24"/>
                <w:szCs w:val="24"/>
              </w:rPr>
            </w:pPr>
          </w:p>
        </w:tc>
        <w:tc>
          <w:tcPr>
            <w:tcW w:w="1907" w:type="dxa"/>
            <w:vMerge w:val="continue"/>
            <w:vAlign w:val="center"/>
          </w:tcPr>
          <w:p w14:paraId="1A219505">
            <w:pPr>
              <w:adjustRightInd w:val="0"/>
              <w:snapToGrid w:val="0"/>
              <w:jc w:val="center"/>
              <w:rPr>
                <w:rFonts w:hint="eastAsia" w:cs="宋体" w:asciiTheme="minorEastAsia" w:hAnsiTheme="minorEastAsia"/>
                <w:sz w:val="24"/>
                <w:szCs w:val="24"/>
              </w:rPr>
            </w:pPr>
          </w:p>
        </w:tc>
        <w:tc>
          <w:tcPr>
            <w:tcW w:w="6086" w:type="dxa"/>
            <w:vAlign w:val="center"/>
          </w:tcPr>
          <w:p w14:paraId="73ECC1AF">
            <w:pPr>
              <w:numPr>
                <w:ilvl w:val="0"/>
                <w:numId w:val="12"/>
              </w:numPr>
              <w:adjustRightInd w:val="0"/>
              <w:snapToGrid w:val="0"/>
              <w:ind w:left="0" w:leftChars="0" w:firstLine="0" w:firstLineChars="0"/>
              <w:rPr>
                <w:rFonts w:hint="eastAsia" w:cs="宋体" w:asciiTheme="minorEastAsia" w:hAnsiTheme="minorEastAsia"/>
                <w:color w:val="0000FF"/>
                <w:sz w:val="24"/>
                <w:szCs w:val="24"/>
                <w:lang w:eastAsia="zh-CN"/>
              </w:rPr>
            </w:pPr>
            <w:r>
              <w:rPr>
                <w:rFonts w:hint="eastAsia" w:cs="宋体" w:asciiTheme="minorEastAsia" w:hAnsiTheme="minorEastAsia"/>
                <w:color w:val="0000FF"/>
                <w:sz w:val="24"/>
                <w:szCs w:val="24"/>
                <w:lang w:val="en-US" w:eastAsia="zh-CN"/>
              </w:rPr>
              <w:t>互动体验活动落地可执行性，互动性，创意性</w:t>
            </w:r>
            <w:r>
              <w:rPr>
                <w:rFonts w:hint="eastAsia" w:cs="宋体" w:asciiTheme="minorEastAsia" w:hAnsiTheme="minorEastAsia"/>
                <w:color w:val="0000FF"/>
                <w:sz w:val="24"/>
                <w:szCs w:val="24"/>
                <w:lang w:eastAsia="zh-CN"/>
              </w:rPr>
              <w:t>（</w:t>
            </w:r>
            <w:r>
              <w:rPr>
                <w:rFonts w:hint="eastAsia" w:cs="宋体" w:asciiTheme="minorEastAsia" w:hAnsiTheme="minorEastAsia"/>
                <w:color w:val="0000FF"/>
                <w:sz w:val="24"/>
                <w:szCs w:val="24"/>
                <w:lang w:val="en-US" w:eastAsia="zh-CN"/>
              </w:rPr>
              <w:t>0-15分</w:t>
            </w:r>
            <w:r>
              <w:rPr>
                <w:rFonts w:hint="eastAsia" w:cs="宋体" w:asciiTheme="minorEastAsia" w:hAnsiTheme="minorEastAsia"/>
                <w:color w:val="0000FF"/>
                <w:sz w:val="24"/>
                <w:szCs w:val="24"/>
                <w:lang w:eastAsia="zh-CN"/>
              </w:rPr>
              <w:t>）</w:t>
            </w:r>
          </w:p>
          <w:p w14:paraId="1B4D06C4">
            <w:pPr>
              <w:numPr>
                <w:ilvl w:val="0"/>
                <w:numId w:val="0"/>
              </w:numPr>
              <w:adjustRightInd w:val="0"/>
              <w:snapToGrid w:val="0"/>
              <w:ind w:leftChars="0"/>
              <w:rPr>
                <w:rFonts w:hint="default" w:cs="宋体" w:asciiTheme="minorEastAsia" w:hAnsiTheme="minorEastAsia"/>
                <w:color w:val="0000FF"/>
                <w:sz w:val="24"/>
                <w:szCs w:val="24"/>
                <w:lang w:val="en-US" w:eastAsia="zh-CN"/>
              </w:rPr>
            </w:pPr>
            <w:r>
              <w:rPr>
                <w:rFonts w:hint="eastAsia" w:cs="宋体" w:asciiTheme="minorEastAsia" w:hAnsiTheme="minorEastAsia"/>
                <w:color w:val="0000FF"/>
                <w:sz w:val="24"/>
                <w:szCs w:val="24"/>
                <w:lang w:val="en-US" w:eastAsia="zh-CN"/>
              </w:rPr>
              <w:t>·落地可执行性强，互动性强，创意性好（10-15分）；</w:t>
            </w:r>
          </w:p>
          <w:p w14:paraId="5B80BA02">
            <w:pPr>
              <w:numPr>
                <w:ilvl w:val="0"/>
                <w:numId w:val="0"/>
              </w:numPr>
              <w:adjustRightInd w:val="0"/>
              <w:snapToGrid w:val="0"/>
              <w:ind w:leftChars="0"/>
              <w:rPr>
                <w:rFonts w:hint="eastAsia" w:cs="宋体" w:asciiTheme="minorEastAsia" w:hAnsiTheme="minorEastAsia"/>
                <w:color w:val="0000FF"/>
                <w:sz w:val="24"/>
                <w:szCs w:val="24"/>
                <w:lang w:val="en-US" w:eastAsia="zh-CN"/>
              </w:rPr>
            </w:pPr>
            <w:r>
              <w:rPr>
                <w:rFonts w:hint="eastAsia" w:cs="宋体" w:asciiTheme="minorEastAsia" w:hAnsiTheme="minorEastAsia"/>
                <w:color w:val="0000FF"/>
                <w:sz w:val="24"/>
                <w:szCs w:val="24"/>
                <w:lang w:val="en-US" w:eastAsia="zh-CN"/>
              </w:rPr>
              <w:t>·其中两项效果较好，一项较差（5-9分）；</w:t>
            </w:r>
          </w:p>
          <w:p w14:paraId="4466DBC3">
            <w:pPr>
              <w:numPr>
                <w:ilvl w:val="0"/>
                <w:numId w:val="0"/>
              </w:numPr>
              <w:adjustRightInd w:val="0"/>
              <w:snapToGrid w:val="0"/>
              <w:ind w:leftChars="0"/>
              <w:rPr>
                <w:rFonts w:hint="eastAsia" w:cs="宋体" w:asciiTheme="minorEastAsia" w:hAnsiTheme="minorEastAsia"/>
                <w:color w:val="0000FF"/>
                <w:sz w:val="24"/>
                <w:szCs w:val="24"/>
                <w:lang w:val="en-US" w:eastAsia="zh-CN"/>
              </w:rPr>
            </w:pPr>
            <w:r>
              <w:rPr>
                <w:rFonts w:hint="eastAsia" w:cs="宋体" w:asciiTheme="minorEastAsia" w:hAnsiTheme="minorEastAsia"/>
                <w:color w:val="0000FF"/>
                <w:sz w:val="24"/>
                <w:szCs w:val="24"/>
                <w:lang w:val="en-US" w:eastAsia="zh-CN"/>
              </w:rPr>
              <w:t>·</w:t>
            </w:r>
            <w:r>
              <w:rPr>
                <w:rFonts w:hint="eastAsia" w:cs="宋体" w:asciiTheme="minorEastAsia" w:hAnsiTheme="minorEastAsia"/>
                <w:color w:val="0000FF"/>
                <w:sz w:val="24"/>
                <w:szCs w:val="24"/>
                <w:lang w:val="en-US" w:eastAsia="zh-CN"/>
              </w:rPr>
              <w:t>其中一项效果较好，两项较差（1-4分）</w:t>
            </w:r>
          </w:p>
          <w:p w14:paraId="5604DF04">
            <w:pPr>
              <w:numPr>
                <w:ilvl w:val="0"/>
                <w:numId w:val="0"/>
              </w:numPr>
              <w:adjustRightInd w:val="0"/>
              <w:snapToGrid w:val="0"/>
              <w:ind w:leftChars="0"/>
              <w:rPr>
                <w:rFonts w:hint="default" w:cs="宋体" w:asciiTheme="minorEastAsia" w:hAnsiTheme="minorEastAsia"/>
                <w:color w:val="0000FF"/>
                <w:sz w:val="24"/>
                <w:szCs w:val="24"/>
                <w:lang w:val="en-US" w:eastAsia="zh-CN"/>
              </w:rPr>
            </w:pPr>
            <w:r>
              <w:rPr>
                <w:rFonts w:hint="eastAsia" w:cs="宋体" w:asciiTheme="minorEastAsia" w:hAnsiTheme="minorEastAsia"/>
                <w:color w:val="0000FF"/>
                <w:sz w:val="24"/>
                <w:szCs w:val="24"/>
                <w:lang w:val="en-US" w:eastAsia="zh-CN"/>
              </w:rPr>
              <w:t>·</w:t>
            </w:r>
            <w:r>
              <w:rPr>
                <w:rFonts w:hint="eastAsia" w:cs="宋体" w:asciiTheme="minorEastAsia" w:hAnsiTheme="minorEastAsia"/>
                <w:color w:val="0000FF"/>
                <w:sz w:val="24"/>
                <w:szCs w:val="24"/>
                <w:lang w:val="en-US" w:eastAsia="zh-CN"/>
              </w:rPr>
              <w:t>以上三项整体效果均较差（0分）。</w:t>
            </w:r>
          </w:p>
        </w:tc>
        <w:tc>
          <w:tcPr>
            <w:tcW w:w="1354" w:type="dxa"/>
            <w:vAlign w:val="center"/>
          </w:tcPr>
          <w:p w14:paraId="58C90478">
            <w:pPr>
              <w:spacing w:line="360" w:lineRule="auto"/>
              <w:ind w:left="600" w:leftChars="0" w:hanging="600" w:hangingChars="250"/>
              <w:jc w:val="center"/>
              <w:rPr>
                <w:rFonts w:hint="default" w:cs="宋体" w:asciiTheme="minorEastAsia" w:hAnsiTheme="minorEastAsia" w:eastAsiaTheme="minorEastAsia"/>
                <w:b w:val="0"/>
                <w:bCs w:val="0"/>
                <w:color w:val="0000FF"/>
                <w:sz w:val="24"/>
                <w:lang w:val="en-US" w:eastAsia="zh-CN"/>
              </w:rPr>
            </w:pPr>
            <w:r>
              <w:rPr>
                <w:rFonts w:hint="eastAsia" w:cs="宋体" w:asciiTheme="minorEastAsia" w:hAnsiTheme="minorEastAsia"/>
                <w:b w:val="0"/>
                <w:bCs w:val="0"/>
                <w:color w:val="0000FF"/>
                <w:sz w:val="24"/>
                <w:lang w:val="en-US" w:eastAsia="zh-CN"/>
              </w:rPr>
              <w:t>15</w:t>
            </w:r>
          </w:p>
        </w:tc>
      </w:tr>
      <w:tr w14:paraId="0CB9E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4" w:hRule="atLeast"/>
          <w:jc w:val="center"/>
        </w:trPr>
        <w:tc>
          <w:tcPr>
            <w:tcW w:w="1412" w:type="dxa"/>
            <w:vMerge w:val="continue"/>
            <w:vAlign w:val="center"/>
          </w:tcPr>
          <w:p w14:paraId="39D47394">
            <w:pPr>
              <w:adjustRightInd w:val="0"/>
              <w:snapToGrid w:val="0"/>
              <w:jc w:val="center"/>
              <w:rPr>
                <w:rFonts w:hint="eastAsia" w:cs="宋体" w:asciiTheme="minorEastAsia" w:hAnsiTheme="minorEastAsia"/>
                <w:kern w:val="0"/>
                <w:sz w:val="24"/>
                <w:szCs w:val="24"/>
              </w:rPr>
            </w:pPr>
          </w:p>
        </w:tc>
        <w:tc>
          <w:tcPr>
            <w:tcW w:w="1907" w:type="dxa"/>
            <w:vMerge w:val="continue"/>
            <w:vAlign w:val="center"/>
          </w:tcPr>
          <w:p w14:paraId="4C32A202">
            <w:pPr>
              <w:adjustRightInd w:val="0"/>
              <w:snapToGrid w:val="0"/>
              <w:jc w:val="center"/>
              <w:rPr>
                <w:rFonts w:hint="eastAsia" w:cs="宋体" w:asciiTheme="minorEastAsia" w:hAnsiTheme="minorEastAsia"/>
                <w:sz w:val="24"/>
                <w:szCs w:val="24"/>
              </w:rPr>
            </w:pPr>
          </w:p>
        </w:tc>
        <w:tc>
          <w:tcPr>
            <w:tcW w:w="6086" w:type="dxa"/>
            <w:vAlign w:val="center"/>
          </w:tcPr>
          <w:p w14:paraId="62390838">
            <w:pPr>
              <w:numPr>
                <w:ilvl w:val="0"/>
                <w:numId w:val="12"/>
              </w:numPr>
              <w:adjustRightInd w:val="0"/>
              <w:snapToGrid w:val="0"/>
              <w:ind w:left="0" w:leftChars="0" w:firstLine="0" w:firstLineChars="0"/>
              <w:rPr>
                <w:rFonts w:hint="eastAsia" w:cs="宋体" w:asciiTheme="minorEastAsia" w:hAnsiTheme="minorEastAsia"/>
                <w:color w:val="auto"/>
                <w:sz w:val="24"/>
                <w:szCs w:val="24"/>
                <w:lang w:val="en-US" w:eastAsia="zh-CN"/>
              </w:rPr>
            </w:pPr>
            <w:r>
              <w:rPr>
                <w:rFonts w:hint="eastAsia" w:cs="宋体" w:asciiTheme="minorEastAsia" w:hAnsiTheme="minorEastAsia"/>
                <w:color w:val="auto"/>
                <w:sz w:val="24"/>
                <w:szCs w:val="24"/>
                <w:lang w:val="en-US" w:eastAsia="zh-CN"/>
              </w:rPr>
              <w:t>项目过程及售后的响应情况、处理突发事件的应急措施及方案（0-5分）</w:t>
            </w:r>
          </w:p>
          <w:p w14:paraId="348C6E35">
            <w:pPr>
              <w:keepNext w:val="0"/>
              <w:keepLines w:val="0"/>
              <w:pageBreakBefore w:val="0"/>
              <w:widowControl w:val="0"/>
              <w:numPr>
                <w:ilvl w:val="0"/>
                <w:numId w:val="0"/>
              </w:numPr>
              <w:kinsoku/>
              <w:wordWrap/>
              <w:overflowPunct/>
              <w:topLinePunct w:val="0"/>
              <w:autoSpaceDE/>
              <w:autoSpaceDN/>
              <w:bidi w:val="0"/>
              <w:adjustRightInd w:val="0"/>
              <w:snapToGrid w:val="0"/>
              <w:ind w:left="-8" w:leftChars="0" w:firstLine="0" w:firstLineChars="0"/>
              <w:textAlignment w:val="auto"/>
              <w:rPr>
                <w:rFonts w:hint="default" w:cs="宋体" w:asciiTheme="minorEastAsia" w:hAnsiTheme="minorEastAsia"/>
                <w:color w:val="auto"/>
                <w:sz w:val="24"/>
                <w:szCs w:val="24"/>
                <w:lang w:val="en-US" w:eastAsia="zh-CN"/>
              </w:rPr>
            </w:pPr>
            <w:r>
              <w:rPr>
                <w:rFonts w:hint="eastAsia" w:cs="宋体" w:asciiTheme="minorEastAsia" w:hAnsiTheme="minorEastAsia"/>
                <w:color w:val="auto"/>
                <w:sz w:val="24"/>
                <w:szCs w:val="24"/>
                <w:lang w:val="en-US" w:eastAsia="zh-CN"/>
              </w:rPr>
              <w:t>·应对方案完整，24小时内快速响应，处理方式合理(4-5分)；</w:t>
            </w:r>
          </w:p>
          <w:p w14:paraId="2406B476">
            <w:pPr>
              <w:keepNext w:val="0"/>
              <w:keepLines w:val="0"/>
              <w:pageBreakBefore w:val="0"/>
              <w:widowControl w:val="0"/>
              <w:numPr>
                <w:ilvl w:val="0"/>
                <w:numId w:val="0"/>
              </w:numPr>
              <w:kinsoku/>
              <w:wordWrap/>
              <w:overflowPunct/>
              <w:topLinePunct w:val="0"/>
              <w:autoSpaceDE/>
              <w:autoSpaceDN/>
              <w:bidi w:val="0"/>
              <w:adjustRightInd w:val="0"/>
              <w:snapToGrid w:val="0"/>
              <w:ind w:left="-8" w:leftChars="0" w:firstLine="0" w:firstLineChars="0"/>
              <w:textAlignment w:val="auto"/>
              <w:rPr>
                <w:rFonts w:hint="default" w:cs="宋体" w:asciiTheme="minorEastAsia" w:hAnsiTheme="minorEastAsia"/>
                <w:color w:val="auto"/>
                <w:sz w:val="24"/>
                <w:szCs w:val="24"/>
                <w:lang w:val="en-US" w:eastAsia="zh-CN"/>
              </w:rPr>
            </w:pPr>
            <w:r>
              <w:rPr>
                <w:rFonts w:hint="eastAsia" w:cs="宋体" w:asciiTheme="minorEastAsia" w:hAnsiTheme="minorEastAsia"/>
                <w:color w:val="auto"/>
                <w:sz w:val="24"/>
                <w:szCs w:val="24"/>
                <w:lang w:val="en-US" w:eastAsia="zh-CN"/>
              </w:rPr>
              <w:t>·应对方案完整，超过24小时响应时间，处理方式较合理(1-3分）；</w:t>
            </w:r>
          </w:p>
          <w:p w14:paraId="1E87160D">
            <w:pPr>
              <w:keepNext w:val="0"/>
              <w:keepLines w:val="0"/>
              <w:pageBreakBefore w:val="0"/>
              <w:widowControl w:val="0"/>
              <w:numPr>
                <w:ilvl w:val="0"/>
                <w:numId w:val="0"/>
              </w:numPr>
              <w:kinsoku/>
              <w:wordWrap/>
              <w:overflowPunct/>
              <w:topLinePunct w:val="0"/>
              <w:autoSpaceDE/>
              <w:autoSpaceDN/>
              <w:bidi w:val="0"/>
              <w:adjustRightInd w:val="0"/>
              <w:snapToGrid w:val="0"/>
              <w:ind w:left="-8" w:leftChars="0" w:firstLine="0" w:firstLineChars="0"/>
              <w:textAlignment w:val="auto"/>
              <w:rPr>
                <w:rFonts w:hint="default" w:cs="宋体" w:asciiTheme="minorEastAsia" w:hAnsiTheme="minorEastAsia"/>
                <w:color w:val="auto"/>
                <w:sz w:val="24"/>
                <w:szCs w:val="24"/>
                <w:lang w:val="en-US" w:eastAsia="zh-CN"/>
              </w:rPr>
            </w:pPr>
            <w:r>
              <w:rPr>
                <w:rFonts w:hint="eastAsia" w:cs="宋体" w:asciiTheme="minorEastAsia" w:hAnsiTheme="minorEastAsia"/>
                <w:color w:val="auto"/>
                <w:sz w:val="24"/>
                <w:szCs w:val="24"/>
                <w:lang w:val="en-US" w:eastAsia="zh-CN"/>
              </w:rPr>
              <w:t>·无应对方案（0分）。</w:t>
            </w:r>
          </w:p>
        </w:tc>
        <w:tc>
          <w:tcPr>
            <w:tcW w:w="1354" w:type="dxa"/>
            <w:vAlign w:val="center"/>
          </w:tcPr>
          <w:p w14:paraId="36425211">
            <w:pPr>
              <w:spacing w:line="360" w:lineRule="auto"/>
              <w:ind w:left="600" w:leftChars="0" w:hanging="600" w:hangingChars="250"/>
              <w:jc w:val="center"/>
              <w:rPr>
                <w:rFonts w:hint="eastAsia" w:cs="宋体" w:asciiTheme="minorEastAsia" w:hAnsiTheme="minorEastAsia" w:eastAsiaTheme="minorEastAsia"/>
                <w:b w:val="0"/>
                <w:bCs w:val="0"/>
                <w:sz w:val="24"/>
                <w:lang w:val="en-US" w:eastAsia="zh-CN"/>
              </w:rPr>
            </w:pPr>
            <w:r>
              <w:rPr>
                <w:rFonts w:hint="eastAsia" w:cs="宋体" w:asciiTheme="minorEastAsia" w:hAnsiTheme="minorEastAsia"/>
                <w:b w:val="0"/>
                <w:bCs w:val="0"/>
                <w:sz w:val="24"/>
                <w:lang w:val="en-US" w:eastAsia="zh-CN"/>
              </w:rPr>
              <w:t>5</w:t>
            </w:r>
          </w:p>
        </w:tc>
      </w:tr>
      <w:tr w14:paraId="28C29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jc w:val="center"/>
        </w:trPr>
        <w:tc>
          <w:tcPr>
            <w:tcW w:w="1412" w:type="dxa"/>
            <w:vMerge w:val="continue"/>
            <w:vAlign w:val="center"/>
          </w:tcPr>
          <w:p w14:paraId="00A5FE5F">
            <w:pPr>
              <w:adjustRightInd w:val="0"/>
              <w:snapToGrid w:val="0"/>
              <w:jc w:val="center"/>
              <w:rPr>
                <w:rFonts w:cs="宋体" w:asciiTheme="minorEastAsia" w:hAnsiTheme="minorEastAsia"/>
                <w:sz w:val="24"/>
                <w:szCs w:val="24"/>
              </w:rPr>
            </w:pPr>
          </w:p>
        </w:tc>
        <w:tc>
          <w:tcPr>
            <w:tcW w:w="1907" w:type="dxa"/>
            <w:vMerge w:val="continue"/>
            <w:vAlign w:val="center"/>
          </w:tcPr>
          <w:p w14:paraId="091CF239">
            <w:pPr>
              <w:adjustRightInd w:val="0"/>
              <w:snapToGrid w:val="0"/>
              <w:jc w:val="center"/>
              <w:rPr>
                <w:rFonts w:hint="default" w:cs="宋体" w:asciiTheme="minorEastAsia" w:hAnsiTheme="minorEastAsia" w:eastAsiaTheme="minorEastAsia"/>
                <w:sz w:val="24"/>
                <w:szCs w:val="24"/>
                <w:lang w:val="en-US" w:eastAsia="zh-CN"/>
              </w:rPr>
            </w:pPr>
          </w:p>
        </w:tc>
        <w:tc>
          <w:tcPr>
            <w:tcW w:w="6086" w:type="dxa"/>
            <w:vAlign w:val="center"/>
          </w:tcPr>
          <w:p w14:paraId="58EB81FB">
            <w:pPr>
              <w:numPr>
                <w:ilvl w:val="0"/>
                <w:numId w:val="12"/>
              </w:numPr>
              <w:adjustRightInd w:val="0"/>
              <w:snapToGrid w:val="0"/>
              <w:ind w:left="0" w:leftChars="0" w:firstLine="0" w:firstLineChars="0"/>
              <w:rPr>
                <w:rFonts w:hint="eastAsia" w:cs="宋体" w:asciiTheme="minorEastAsia" w:hAnsiTheme="minorEastAsia"/>
                <w:color w:val="0000FF"/>
                <w:sz w:val="24"/>
                <w:szCs w:val="24"/>
                <w:lang w:val="en-US" w:eastAsia="zh-CN"/>
              </w:rPr>
            </w:pPr>
            <w:r>
              <w:rPr>
                <w:rFonts w:hint="eastAsia" w:cs="宋体" w:asciiTheme="minorEastAsia" w:hAnsiTheme="minorEastAsia"/>
                <w:color w:val="0000FF"/>
                <w:sz w:val="24"/>
                <w:szCs w:val="24"/>
                <w:lang w:val="en-US" w:eastAsia="zh-CN"/>
              </w:rPr>
              <w:t>能为本项目提供品牌/平台联动资源，能在本次项目中为世纪游轮的品牌及活动效果提升价值（0-5分）</w:t>
            </w:r>
          </w:p>
          <w:p w14:paraId="6DFFA8E5">
            <w:pPr>
              <w:adjustRightInd w:val="0"/>
              <w:snapToGrid w:val="0"/>
              <w:rPr>
                <w:rFonts w:hint="eastAsia" w:cs="宋体" w:asciiTheme="minorEastAsia" w:hAnsiTheme="minorEastAsia"/>
                <w:b w:val="0"/>
                <w:bCs w:val="0"/>
                <w:color w:val="0000FF"/>
                <w:sz w:val="24"/>
                <w:szCs w:val="24"/>
                <w:lang w:val="en-US" w:eastAsia="zh-CN"/>
              </w:rPr>
            </w:pPr>
            <w:r>
              <w:rPr>
                <w:rFonts w:hint="eastAsia" w:cs="宋体" w:asciiTheme="minorEastAsia" w:hAnsiTheme="minorEastAsia"/>
                <w:b w:val="0"/>
                <w:bCs w:val="0"/>
                <w:color w:val="0000FF"/>
                <w:sz w:val="24"/>
                <w:szCs w:val="24"/>
                <w:lang w:val="en-US" w:eastAsia="zh-CN"/>
              </w:rPr>
              <w:t>·提供知名品牌/平台资源，在本项目中给世纪游轮品牌及活动效果带来较大提升（3-5分）；</w:t>
            </w:r>
          </w:p>
          <w:p w14:paraId="37CF4054">
            <w:pPr>
              <w:adjustRightInd w:val="0"/>
              <w:snapToGrid w:val="0"/>
              <w:rPr>
                <w:rFonts w:hint="eastAsia" w:cs="宋体" w:asciiTheme="minorEastAsia" w:hAnsiTheme="minorEastAsia"/>
                <w:b w:val="0"/>
                <w:bCs w:val="0"/>
                <w:color w:val="0000FF"/>
                <w:sz w:val="24"/>
                <w:szCs w:val="24"/>
                <w:lang w:val="en-US" w:eastAsia="zh-CN"/>
              </w:rPr>
            </w:pPr>
            <w:r>
              <w:rPr>
                <w:rFonts w:hint="eastAsia" w:cs="宋体" w:asciiTheme="minorEastAsia" w:hAnsiTheme="minorEastAsia"/>
                <w:b w:val="0"/>
                <w:bCs w:val="0"/>
                <w:color w:val="0000FF"/>
                <w:sz w:val="24"/>
                <w:szCs w:val="24"/>
                <w:lang w:val="en-US" w:eastAsia="zh-CN"/>
              </w:rPr>
              <w:t>·提供品牌/平台资源，在本项目中给世纪游轮品牌及活动效果带来部分提升（1-2分）；</w:t>
            </w:r>
          </w:p>
          <w:p w14:paraId="67332EF2">
            <w:pPr>
              <w:adjustRightInd w:val="0"/>
              <w:snapToGrid w:val="0"/>
              <w:rPr>
                <w:rFonts w:hint="default" w:cs="宋体" w:asciiTheme="minorEastAsia" w:hAnsiTheme="minorEastAsia"/>
                <w:b w:val="0"/>
                <w:bCs w:val="0"/>
                <w:color w:val="0000FF"/>
                <w:sz w:val="24"/>
                <w:szCs w:val="24"/>
                <w:lang w:val="en-US" w:eastAsia="zh-CN"/>
              </w:rPr>
            </w:pPr>
            <w:r>
              <w:rPr>
                <w:rFonts w:hint="eastAsia" w:cs="宋体" w:asciiTheme="minorEastAsia" w:hAnsiTheme="minorEastAsia"/>
                <w:b w:val="0"/>
                <w:bCs w:val="0"/>
                <w:color w:val="0000FF"/>
                <w:sz w:val="24"/>
                <w:szCs w:val="24"/>
                <w:lang w:val="en-US" w:eastAsia="zh-CN"/>
              </w:rPr>
              <w:t>·无相关品牌/平台资源（0分）。</w:t>
            </w:r>
          </w:p>
        </w:tc>
        <w:tc>
          <w:tcPr>
            <w:tcW w:w="1354" w:type="dxa"/>
            <w:vAlign w:val="center"/>
          </w:tcPr>
          <w:p w14:paraId="52745C35">
            <w:pPr>
              <w:spacing w:line="360" w:lineRule="auto"/>
              <w:jc w:val="center"/>
              <w:rPr>
                <w:rFonts w:hint="eastAsia" w:cs="宋体" w:asciiTheme="minorEastAsia" w:hAnsiTheme="minorEastAsia" w:eastAsiaTheme="minorEastAsia"/>
                <w:b w:val="0"/>
                <w:bCs w:val="0"/>
                <w:color w:val="0000FF"/>
                <w:sz w:val="24"/>
                <w:lang w:eastAsia="zh-CN"/>
              </w:rPr>
            </w:pPr>
            <w:r>
              <w:rPr>
                <w:rFonts w:hint="eastAsia" w:ascii="宋体" w:hAnsi="宋体" w:cs="宋体"/>
                <w:b w:val="0"/>
                <w:bCs w:val="0"/>
                <w:color w:val="0000FF"/>
                <w:sz w:val="24"/>
                <w:lang w:val="en-US" w:eastAsia="zh-CN"/>
              </w:rPr>
              <w:t>5</w:t>
            </w:r>
          </w:p>
        </w:tc>
      </w:tr>
      <w:tr w14:paraId="7344F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jc w:val="center"/>
        </w:trPr>
        <w:tc>
          <w:tcPr>
            <w:tcW w:w="1412" w:type="dxa"/>
            <w:vAlign w:val="center"/>
          </w:tcPr>
          <w:p w14:paraId="6250C114">
            <w:pPr>
              <w:adjustRightInd w:val="0"/>
              <w:snapToGrid w:val="0"/>
              <w:jc w:val="center"/>
              <w:rPr>
                <w:rFonts w:hint="eastAsia" w:cs="宋体" w:asciiTheme="minorEastAsia" w:hAnsiTheme="minorEastAsia" w:eastAsiaTheme="minorEastAsia"/>
                <w:sz w:val="24"/>
                <w:szCs w:val="24"/>
                <w:lang w:eastAsia="zh-CN"/>
              </w:rPr>
            </w:pPr>
            <w:r>
              <w:rPr>
                <w:rFonts w:hint="eastAsia" w:cs="宋体" w:asciiTheme="minorEastAsia" w:hAnsiTheme="minorEastAsia"/>
                <w:kern w:val="0"/>
                <w:sz w:val="24"/>
                <w:szCs w:val="24"/>
                <w:lang w:eastAsia="zh-CN"/>
              </w:rPr>
              <w:t>2.2.4</w:t>
            </w:r>
          </w:p>
        </w:tc>
        <w:tc>
          <w:tcPr>
            <w:tcW w:w="1907" w:type="dxa"/>
            <w:vAlign w:val="center"/>
          </w:tcPr>
          <w:p w14:paraId="69A05781">
            <w:pPr>
              <w:adjustRightInd w:val="0"/>
              <w:snapToGrid w:val="0"/>
              <w:jc w:val="center"/>
              <w:rPr>
                <w:rFonts w:cs="宋体" w:asciiTheme="minorEastAsia" w:hAnsiTheme="minorEastAsia"/>
                <w:sz w:val="24"/>
                <w:szCs w:val="24"/>
              </w:rPr>
            </w:pPr>
            <w:r>
              <w:rPr>
                <w:rFonts w:hint="eastAsia" w:cs="宋体" w:asciiTheme="minorEastAsia" w:hAnsiTheme="minorEastAsia"/>
                <w:sz w:val="24"/>
                <w:szCs w:val="24"/>
              </w:rPr>
              <w:t>投标报价评分标准</w:t>
            </w:r>
          </w:p>
        </w:tc>
        <w:tc>
          <w:tcPr>
            <w:tcW w:w="6086" w:type="dxa"/>
            <w:vAlign w:val="center"/>
          </w:tcPr>
          <w:p w14:paraId="7B64F270">
            <w:pPr>
              <w:adjustRightInd w:val="0"/>
              <w:snapToGrid w:val="0"/>
              <w:rPr>
                <w:rFonts w:hint="eastAsia" w:cs="宋体" w:asciiTheme="minorEastAsia" w:hAnsiTheme="minorEastAsia"/>
                <w:sz w:val="24"/>
                <w:szCs w:val="24"/>
                <w:lang w:val="en-US" w:eastAsia="zh-CN"/>
              </w:rPr>
            </w:pPr>
            <w:r>
              <w:rPr>
                <w:rFonts w:hint="eastAsia" w:cs="宋体" w:asciiTheme="minorEastAsia" w:hAnsiTheme="minorEastAsia"/>
                <w:sz w:val="24"/>
                <w:szCs w:val="24"/>
                <w:lang w:val="en-US" w:eastAsia="zh-CN"/>
              </w:rPr>
              <w:t>根据投标公司数量，将30分划分为与投标公司数量相同的几个区间分值，根据投标报价，由低到高降序打分（即报价越低的得分越高）。</w:t>
            </w:r>
          </w:p>
          <w:p w14:paraId="599186D5">
            <w:pPr>
              <w:adjustRightInd w:val="0"/>
              <w:snapToGrid w:val="0"/>
              <w:rPr>
                <w:rFonts w:hint="eastAsia" w:cs="宋体" w:asciiTheme="minorEastAsia" w:hAnsiTheme="minorEastAsia"/>
                <w:sz w:val="24"/>
                <w:szCs w:val="24"/>
                <w:lang w:val="en-US" w:eastAsia="zh-CN"/>
              </w:rPr>
            </w:pPr>
            <w:r>
              <w:rPr>
                <w:rFonts w:hint="eastAsia" w:cs="宋体" w:asciiTheme="minorEastAsia" w:hAnsiTheme="minorEastAsia"/>
                <w:sz w:val="24"/>
                <w:szCs w:val="24"/>
                <w:lang w:val="en-US" w:eastAsia="zh-CN"/>
              </w:rPr>
              <w:t>由审计监察部根据投标单位的方案提供控标价</w:t>
            </w:r>
          </w:p>
          <w:p w14:paraId="096FDF5E">
            <w:pPr>
              <w:adjustRightInd w:val="0"/>
              <w:snapToGrid w:val="0"/>
              <w:rPr>
                <w:rFonts w:hint="default" w:cs="宋体" w:asciiTheme="minorEastAsia" w:hAnsiTheme="minorEastAsia" w:eastAsiaTheme="minorEastAsia"/>
                <w:sz w:val="24"/>
                <w:szCs w:val="24"/>
                <w:lang w:val="en-US" w:eastAsia="zh-CN"/>
              </w:rPr>
            </w:pPr>
            <w:r>
              <w:rPr>
                <w:rFonts w:hint="eastAsia" w:cs="宋体" w:asciiTheme="minorEastAsia" w:hAnsiTheme="minorEastAsia"/>
                <w:sz w:val="24"/>
                <w:szCs w:val="24"/>
                <w:lang w:val="en-US" w:eastAsia="zh-CN"/>
              </w:rPr>
              <w:t>投标单位对比控标价增减1%对应值加减2分。</w:t>
            </w:r>
          </w:p>
        </w:tc>
        <w:tc>
          <w:tcPr>
            <w:tcW w:w="1354" w:type="dxa"/>
            <w:vAlign w:val="center"/>
          </w:tcPr>
          <w:p w14:paraId="1D9A60F1">
            <w:pPr>
              <w:spacing w:line="360" w:lineRule="auto"/>
              <w:jc w:val="center"/>
              <w:rPr>
                <w:rFonts w:hint="default" w:cs="宋体" w:asciiTheme="minorEastAsia" w:hAnsiTheme="minorEastAsia" w:eastAsiaTheme="minorEastAsia"/>
                <w:sz w:val="24"/>
                <w:lang w:val="en-US" w:eastAsia="zh-CN"/>
              </w:rPr>
            </w:pPr>
            <w:r>
              <w:rPr>
                <w:rFonts w:hint="eastAsia" w:cs="宋体" w:asciiTheme="minorEastAsia" w:hAnsiTheme="minorEastAsia"/>
                <w:sz w:val="24"/>
                <w:lang w:val="en-US" w:eastAsia="zh-CN"/>
              </w:rPr>
              <w:t>30</w:t>
            </w:r>
          </w:p>
        </w:tc>
      </w:tr>
    </w:tbl>
    <w:p w14:paraId="53DB2F84">
      <w:pPr>
        <w:pStyle w:val="19"/>
        <w:numPr>
          <w:ilvl w:val="0"/>
          <w:numId w:val="8"/>
        </w:numPr>
        <w:spacing w:line="360" w:lineRule="auto"/>
        <w:ind w:firstLineChars="0"/>
        <w:rPr>
          <w:rFonts w:cs="宋体" w:asciiTheme="minorEastAsia" w:hAnsiTheme="minorEastAsia"/>
          <w:b/>
          <w:bCs/>
          <w:sz w:val="24"/>
        </w:rPr>
      </w:pPr>
      <w:r>
        <w:rPr>
          <w:rFonts w:hint="eastAsia" w:cs="宋体" w:asciiTheme="minorEastAsia" w:hAnsiTheme="minorEastAsia"/>
          <w:b/>
          <w:bCs/>
          <w:sz w:val="24"/>
        </w:rPr>
        <w:t>评标方法</w:t>
      </w:r>
    </w:p>
    <w:p w14:paraId="472A3D7F">
      <w:pPr>
        <w:spacing w:line="360" w:lineRule="auto"/>
        <w:ind w:firstLine="424" w:firstLineChars="177"/>
        <w:rPr>
          <w:rFonts w:asciiTheme="minorEastAsia" w:hAnsiTheme="minorEastAsia"/>
          <w:sz w:val="24"/>
          <w:szCs w:val="24"/>
        </w:rPr>
      </w:pPr>
      <w:r>
        <w:rPr>
          <w:rFonts w:hint="eastAsia" w:asciiTheme="minorEastAsia" w:hAnsiTheme="minorEastAsia"/>
          <w:sz w:val="24"/>
          <w:szCs w:val="24"/>
        </w:rPr>
        <w:t>本次评标采用综合评分法。评标委员会对满足招标文件实质性要求的投标文件，按照本章规定的评分标准进行打分，并按得分由高到低顺序推荐中标候选人，但投标报价低于其成本的除外。综合评分相等时，以投标报价低的优先；投标报价也相等的，以技术得分高的优先。</w:t>
      </w:r>
    </w:p>
    <w:p w14:paraId="38E16329">
      <w:pPr>
        <w:pStyle w:val="19"/>
        <w:numPr>
          <w:ilvl w:val="0"/>
          <w:numId w:val="8"/>
        </w:numPr>
        <w:spacing w:line="360" w:lineRule="auto"/>
        <w:ind w:firstLineChars="0"/>
        <w:rPr>
          <w:rFonts w:cs="宋体" w:asciiTheme="minorEastAsia" w:hAnsiTheme="minorEastAsia"/>
          <w:b/>
          <w:bCs/>
          <w:sz w:val="24"/>
        </w:rPr>
      </w:pPr>
      <w:r>
        <w:rPr>
          <w:rFonts w:hint="eastAsia" w:cs="宋体" w:asciiTheme="minorEastAsia" w:hAnsiTheme="minorEastAsia"/>
          <w:b/>
          <w:bCs/>
          <w:sz w:val="24"/>
        </w:rPr>
        <w:t>评标程序</w:t>
      </w:r>
    </w:p>
    <w:p w14:paraId="74E1537B">
      <w:pPr>
        <w:spacing w:line="360" w:lineRule="auto"/>
        <w:ind w:firstLine="424" w:firstLineChars="177"/>
        <w:rPr>
          <w:rFonts w:asciiTheme="minorEastAsia" w:hAnsiTheme="minorEastAsia"/>
          <w:color w:val="0000FF"/>
          <w:sz w:val="24"/>
          <w:szCs w:val="24"/>
        </w:rPr>
      </w:pPr>
      <w:r>
        <w:rPr>
          <w:rFonts w:hint="eastAsia" w:asciiTheme="minorEastAsia" w:hAnsiTheme="minorEastAsia"/>
          <w:color w:val="0000FF"/>
          <w:sz w:val="24"/>
          <w:szCs w:val="24"/>
        </w:rPr>
        <w:t>5.1 初步评审</w:t>
      </w:r>
    </w:p>
    <w:p w14:paraId="4E4F4E09">
      <w:pPr>
        <w:snapToGrid w:val="0"/>
        <w:spacing w:line="360" w:lineRule="auto"/>
        <w:ind w:firstLine="424" w:firstLineChars="177"/>
        <w:rPr>
          <w:rFonts w:asciiTheme="minorEastAsia" w:hAnsiTheme="minorEastAsia"/>
          <w:color w:val="0000FF"/>
          <w:sz w:val="24"/>
          <w:szCs w:val="24"/>
        </w:rPr>
      </w:pPr>
      <w:r>
        <w:rPr>
          <w:rFonts w:hint="eastAsia" w:asciiTheme="minorEastAsia" w:hAnsiTheme="minorEastAsia"/>
          <w:color w:val="0000FF"/>
          <w:sz w:val="24"/>
          <w:szCs w:val="24"/>
        </w:rPr>
        <w:t>5.1.1 评标委员会可以要求投标人提交第三章“投标人资格要求”规定的有关证明和证件的原件，以便核验。评标委员会依据本章第2.1款的规定对投标文件进行初步评审。有一项不符合评审标准的，评标委员会应当否决其投标。</w:t>
      </w:r>
    </w:p>
    <w:p w14:paraId="10E597CC">
      <w:pPr>
        <w:snapToGrid w:val="0"/>
        <w:spacing w:line="360" w:lineRule="auto"/>
        <w:ind w:firstLine="424" w:firstLineChars="177"/>
        <w:rPr>
          <w:rFonts w:asciiTheme="minorEastAsia" w:hAnsiTheme="minorEastAsia"/>
          <w:color w:val="0000FF"/>
          <w:sz w:val="24"/>
          <w:szCs w:val="24"/>
        </w:rPr>
      </w:pPr>
      <w:r>
        <w:rPr>
          <w:rFonts w:hint="eastAsia" w:asciiTheme="minorEastAsia" w:hAnsiTheme="minorEastAsia"/>
          <w:color w:val="0000FF"/>
          <w:sz w:val="24"/>
          <w:szCs w:val="24"/>
        </w:rPr>
        <w:t>5.1.2 投标人有以下情形之一的，评标委员会应当否决其投标：</w:t>
      </w:r>
    </w:p>
    <w:p w14:paraId="639D1234">
      <w:pPr>
        <w:pStyle w:val="19"/>
        <w:numPr>
          <w:ilvl w:val="0"/>
          <w:numId w:val="13"/>
        </w:numPr>
        <w:snapToGrid w:val="0"/>
        <w:spacing w:line="360" w:lineRule="auto"/>
        <w:ind w:firstLine="6" w:firstLineChars="0"/>
        <w:rPr>
          <w:rStyle w:val="24"/>
          <w:rFonts w:asciiTheme="minorEastAsia" w:hAnsiTheme="minorEastAsia"/>
          <w:color w:val="0000FF"/>
          <w:lang w:val="zh-CN"/>
        </w:rPr>
      </w:pPr>
      <w:r>
        <w:rPr>
          <w:rStyle w:val="24"/>
          <w:rFonts w:hint="eastAsia" w:asciiTheme="minorEastAsia" w:hAnsiTheme="minorEastAsia"/>
          <w:color w:val="0000FF"/>
          <w:lang w:val="zh-CN"/>
        </w:rPr>
        <w:t>投标文件没有对招标文件的实质性要求和条件作出响应；</w:t>
      </w:r>
    </w:p>
    <w:p w14:paraId="1B9775C6">
      <w:pPr>
        <w:pStyle w:val="19"/>
        <w:numPr>
          <w:ilvl w:val="0"/>
          <w:numId w:val="13"/>
        </w:numPr>
        <w:snapToGrid w:val="0"/>
        <w:spacing w:line="360" w:lineRule="auto"/>
        <w:ind w:firstLine="6" w:firstLineChars="0"/>
        <w:rPr>
          <w:rStyle w:val="24"/>
          <w:rFonts w:asciiTheme="minorEastAsia" w:hAnsiTheme="minorEastAsia"/>
          <w:color w:val="0000FF"/>
          <w:lang w:val="zh-CN"/>
        </w:rPr>
      </w:pPr>
      <w:r>
        <w:rPr>
          <w:rStyle w:val="24"/>
          <w:rFonts w:hint="eastAsia" w:asciiTheme="minorEastAsia" w:hAnsiTheme="minorEastAsia"/>
          <w:color w:val="0000FF"/>
          <w:lang w:val="zh-CN"/>
        </w:rPr>
        <w:t>有串通投标、弄虚作假、行贿等违法行为。</w:t>
      </w:r>
    </w:p>
    <w:p w14:paraId="6C72E2D3">
      <w:pPr>
        <w:spacing w:line="360" w:lineRule="auto"/>
        <w:ind w:firstLine="424" w:firstLineChars="177"/>
        <w:rPr>
          <w:rFonts w:asciiTheme="minorEastAsia" w:hAnsiTheme="minorEastAsia"/>
          <w:color w:val="0000FF"/>
          <w:sz w:val="24"/>
          <w:szCs w:val="24"/>
        </w:rPr>
      </w:pPr>
      <w:r>
        <w:rPr>
          <w:rFonts w:hint="eastAsia" w:asciiTheme="minorEastAsia" w:hAnsiTheme="minorEastAsia"/>
          <w:color w:val="0000FF"/>
          <w:sz w:val="24"/>
          <w:szCs w:val="24"/>
        </w:rPr>
        <w:t>5.1.3 投标报价有算术错误及其他错误的，评标委员会</w:t>
      </w:r>
      <w:r>
        <w:rPr>
          <w:rFonts w:hint="eastAsia" w:asciiTheme="minorEastAsia" w:hAnsiTheme="minorEastAsia"/>
          <w:color w:val="0000FF"/>
          <w:sz w:val="24"/>
          <w:szCs w:val="24"/>
          <w:lang w:val="en-US" w:eastAsia="zh-CN"/>
        </w:rPr>
        <w:t>会</w:t>
      </w:r>
      <w:r>
        <w:rPr>
          <w:rFonts w:hint="eastAsia" w:asciiTheme="minorEastAsia" w:hAnsiTheme="minorEastAsia"/>
          <w:color w:val="0000FF"/>
          <w:sz w:val="24"/>
          <w:szCs w:val="24"/>
        </w:rPr>
        <w:t>要求投标人对投标报价进行修正，并要求投标人书面澄清确认。投标人拒不澄清确认的，评标委员会应当否决其投标：</w:t>
      </w:r>
    </w:p>
    <w:p w14:paraId="174F2C9E">
      <w:pPr>
        <w:spacing w:line="360" w:lineRule="auto"/>
        <w:ind w:firstLine="424" w:firstLineChars="177"/>
        <w:rPr>
          <w:rFonts w:asciiTheme="minorEastAsia" w:hAnsiTheme="minorEastAsia"/>
          <w:color w:val="0000FF"/>
          <w:sz w:val="24"/>
          <w:szCs w:val="24"/>
        </w:rPr>
      </w:pPr>
      <w:r>
        <w:rPr>
          <w:rFonts w:hint="eastAsia" w:asciiTheme="minorEastAsia" w:hAnsiTheme="minorEastAsia"/>
          <w:color w:val="0000FF"/>
          <w:sz w:val="24"/>
          <w:szCs w:val="24"/>
        </w:rPr>
        <w:t>5.1.4初步评审中评审原则标注为“重要指标”的，均为实质性要求。投标文件响应有负偏离的、属于投标文件存在重大偏差，评标委员会将否决其投标。</w:t>
      </w:r>
    </w:p>
    <w:p w14:paraId="14B4210E">
      <w:pPr>
        <w:spacing w:line="360" w:lineRule="auto"/>
        <w:ind w:firstLine="424" w:firstLineChars="177"/>
        <w:rPr>
          <w:rFonts w:asciiTheme="minorEastAsia" w:hAnsiTheme="minorEastAsia"/>
          <w:color w:val="0000FF"/>
          <w:sz w:val="24"/>
          <w:szCs w:val="24"/>
        </w:rPr>
      </w:pPr>
      <w:r>
        <w:rPr>
          <w:rFonts w:hint="eastAsia" w:asciiTheme="minorEastAsia" w:hAnsiTheme="minorEastAsia"/>
          <w:color w:val="0000FF"/>
          <w:sz w:val="24"/>
          <w:szCs w:val="24"/>
        </w:rPr>
        <w:t>5.2 详细评审</w:t>
      </w:r>
    </w:p>
    <w:p w14:paraId="4FAEDF29">
      <w:pPr>
        <w:spacing w:line="360" w:lineRule="auto"/>
        <w:ind w:firstLine="424" w:firstLineChars="177"/>
        <w:rPr>
          <w:rFonts w:asciiTheme="minorEastAsia" w:hAnsiTheme="minorEastAsia"/>
          <w:color w:val="0000FF"/>
          <w:sz w:val="24"/>
          <w:szCs w:val="24"/>
        </w:rPr>
      </w:pPr>
      <w:r>
        <w:rPr>
          <w:rFonts w:hint="eastAsia" w:asciiTheme="minorEastAsia" w:hAnsiTheme="minorEastAsia"/>
          <w:color w:val="0000FF"/>
          <w:sz w:val="24"/>
          <w:szCs w:val="24"/>
        </w:rPr>
        <w:t>5.2.1 评标委员会按本章第2.2款规定的量化因素和分值进行打分，并计算出综合评估得分。</w:t>
      </w:r>
      <w:r>
        <w:rPr>
          <w:rStyle w:val="24"/>
          <w:rFonts w:hint="eastAsia" w:asciiTheme="minorEastAsia" w:hAnsiTheme="minorEastAsia"/>
          <w:color w:val="0000FF"/>
          <w:lang w:val="zh-CN"/>
        </w:rPr>
        <w:t>商务部分</w:t>
      </w:r>
      <w:r>
        <w:rPr>
          <w:rStyle w:val="24"/>
          <w:rFonts w:hint="eastAsia" w:asciiTheme="minorEastAsia" w:hAnsiTheme="minorEastAsia"/>
          <w:color w:val="0000FF"/>
          <w:lang w:val="en-US" w:eastAsia="zh-CN"/>
        </w:rPr>
        <w:t>+技术部分+投标报价=投标人得分。</w:t>
      </w:r>
      <w:r>
        <w:rPr>
          <w:rFonts w:hint="eastAsia" w:asciiTheme="minorEastAsia" w:hAnsiTheme="minorEastAsia"/>
          <w:color w:val="0000FF"/>
          <w:sz w:val="24"/>
          <w:szCs w:val="24"/>
        </w:rPr>
        <w:t>评分分值计算保留小数点后两位，小数点后第三位“四舍五入</w:t>
      </w:r>
      <w:bookmarkStart w:id="13" w:name="_GoBack"/>
      <w:bookmarkEnd w:id="13"/>
      <w:r>
        <w:rPr>
          <w:rFonts w:hint="eastAsia" w:asciiTheme="minorEastAsia" w:hAnsiTheme="minorEastAsia"/>
          <w:color w:val="0000FF"/>
          <w:sz w:val="24"/>
          <w:szCs w:val="24"/>
        </w:rPr>
        <w:t>”。</w:t>
      </w:r>
    </w:p>
    <w:p w14:paraId="2845956F">
      <w:pPr>
        <w:spacing w:line="360" w:lineRule="auto"/>
        <w:ind w:firstLine="424" w:firstLineChars="177"/>
        <w:rPr>
          <w:rFonts w:asciiTheme="minorEastAsia" w:hAnsiTheme="minorEastAsia"/>
          <w:color w:val="0000FF"/>
          <w:sz w:val="24"/>
          <w:szCs w:val="24"/>
        </w:rPr>
      </w:pPr>
      <w:r>
        <w:rPr>
          <w:rFonts w:hint="eastAsia" w:asciiTheme="minorEastAsia" w:hAnsiTheme="minorEastAsia"/>
          <w:color w:val="0000FF"/>
          <w:sz w:val="24"/>
          <w:szCs w:val="24"/>
        </w:rPr>
        <w:t>5.2.</w:t>
      </w:r>
      <w:r>
        <w:rPr>
          <w:rFonts w:hint="eastAsia" w:asciiTheme="minorEastAsia" w:hAnsiTheme="minorEastAsia"/>
          <w:color w:val="0000FF"/>
          <w:sz w:val="24"/>
          <w:szCs w:val="24"/>
          <w:lang w:val="en-US" w:eastAsia="zh-CN"/>
        </w:rPr>
        <w:t>2</w:t>
      </w:r>
      <w:r>
        <w:rPr>
          <w:rFonts w:hint="eastAsia" w:asciiTheme="minorEastAsia" w:hAnsiTheme="minorEastAsia"/>
          <w:color w:val="0000FF"/>
          <w:sz w:val="24"/>
          <w:szCs w:val="24"/>
        </w:rPr>
        <w:t xml:space="preserve"> 评标委员会发现投标人的报价明显低于其他投标报价，使得其投标报价可能低于其个别成本的，应当要求该投标人作出书面说明并提供相应的证明材料。投标人不能合理说明或者不能提供相应证明材料的，评标委员会应当认定该投标人以低于成本报价竞标，并否决其投标。</w:t>
      </w:r>
    </w:p>
    <w:p w14:paraId="677E47BD">
      <w:pPr>
        <w:spacing w:line="360" w:lineRule="auto"/>
        <w:ind w:firstLine="424" w:firstLineChars="177"/>
        <w:jc w:val="left"/>
        <w:rPr>
          <w:rFonts w:asciiTheme="minorEastAsia" w:hAnsiTheme="minorEastAsia"/>
          <w:sz w:val="24"/>
          <w:szCs w:val="24"/>
        </w:rPr>
      </w:pPr>
      <w:r>
        <w:rPr>
          <w:rFonts w:hint="eastAsia" w:asciiTheme="minorEastAsia" w:hAnsiTheme="minorEastAsia"/>
          <w:sz w:val="24"/>
          <w:szCs w:val="24"/>
        </w:rPr>
        <w:t>5.3 投标文件的澄清</w:t>
      </w:r>
    </w:p>
    <w:p w14:paraId="6141D741">
      <w:pPr>
        <w:spacing w:line="360" w:lineRule="auto"/>
        <w:ind w:firstLine="424" w:firstLineChars="177"/>
        <w:rPr>
          <w:rFonts w:asciiTheme="minorEastAsia" w:hAnsiTheme="minorEastAsia"/>
          <w:sz w:val="24"/>
          <w:szCs w:val="24"/>
        </w:rPr>
      </w:pPr>
      <w:r>
        <w:rPr>
          <w:rFonts w:hint="eastAsia" w:asciiTheme="minorEastAsia" w:hAnsiTheme="minorEastAsia"/>
          <w:sz w:val="24"/>
          <w:szCs w:val="24"/>
        </w:rPr>
        <w:t>5.3.1 在评标过程中，评标委员会可以电话会议或书面形式要求投标人对投标文件中含义不明确、对同类问题表述不一致或者有明显文字和计算错误的内容作必要的澄清、说明或补正。澄清、说明或补正应以书面方式进行。</w:t>
      </w:r>
    </w:p>
    <w:p w14:paraId="6D1E5A18">
      <w:pPr>
        <w:spacing w:line="360" w:lineRule="auto"/>
        <w:ind w:firstLine="424" w:firstLineChars="177"/>
        <w:rPr>
          <w:rFonts w:asciiTheme="minorEastAsia" w:hAnsiTheme="minorEastAsia"/>
          <w:sz w:val="24"/>
          <w:szCs w:val="24"/>
        </w:rPr>
      </w:pPr>
    </w:p>
    <w:p w14:paraId="7690F568">
      <w:pPr>
        <w:pStyle w:val="19"/>
        <w:widowControl/>
        <w:numPr>
          <w:ilvl w:val="0"/>
          <w:numId w:val="1"/>
        </w:numPr>
        <w:shd w:val="clear" w:color="auto" w:fill="FFFFFF"/>
        <w:spacing w:line="360" w:lineRule="auto"/>
        <w:ind w:firstLineChars="0"/>
        <w:jc w:val="left"/>
        <w:outlineLvl w:val="1"/>
        <w:rPr>
          <w:rFonts w:cs="Arial" w:asciiTheme="minorEastAsia" w:hAnsiTheme="minorEastAsia"/>
          <w:b/>
          <w:kern w:val="0"/>
          <w:sz w:val="32"/>
          <w:szCs w:val="32"/>
        </w:rPr>
      </w:pPr>
      <w:r>
        <w:rPr>
          <w:rFonts w:hint="eastAsia" w:cs="Arial" w:asciiTheme="minorEastAsia" w:hAnsiTheme="minorEastAsia"/>
          <w:b/>
          <w:kern w:val="0"/>
          <w:sz w:val="32"/>
          <w:szCs w:val="32"/>
        </w:rPr>
        <w:t>投标文件的递交</w:t>
      </w:r>
    </w:p>
    <w:p w14:paraId="00BEF8D7">
      <w:pPr>
        <w:pStyle w:val="19"/>
        <w:numPr>
          <w:ilvl w:val="0"/>
          <w:numId w:val="14"/>
        </w:numPr>
        <w:spacing w:line="360" w:lineRule="auto"/>
        <w:ind w:left="426" w:right="-143" w:rightChars="-68" w:hanging="426" w:firstLineChars="0"/>
        <w:rPr>
          <w:rFonts w:asciiTheme="minorEastAsia" w:hAnsiTheme="minorEastAsia"/>
          <w:sz w:val="24"/>
          <w:szCs w:val="24"/>
        </w:rPr>
      </w:pPr>
      <w:r>
        <w:rPr>
          <w:rFonts w:hint="eastAsia" w:asciiTheme="minorEastAsia" w:hAnsiTheme="minorEastAsia"/>
          <w:sz w:val="24"/>
          <w:szCs w:val="24"/>
        </w:rPr>
        <w:t>投标文件提交的截止时间为：</w:t>
      </w:r>
      <w:r>
        <w:rPr>
          <w:rFonts w:asciiTheme="minorEastAsia" w:hAnsiTheme="minorEastAsia"/>
          <w:sz w:val="24"/>
          <w:szCs w:val="24"/>
        </w:rPr>
        <w:t>20</w:t>
      </w:r>
      <w:r>
        <w:rPr>
          <w:rFonts w:hint="eastAsia" w:asciiTheme="minorEastAsia" w:hAnsiTheme="minorEastAsia"/>
          <w:sz w:val="24"/>
          <w:szCs w:val="24"/>
          <w:lang w:val="en-US" w:eastAsia="zh-CN"/>
        </w:rPr>
        <w:t>25</w:t>
      </w:r>
      <w:r>
        <w:rPr>
          <w:rFonts w:hint="eastAsia" w:asciiTheme="minorEastAsia" w:hAnsiTheme="minorEastAsia"/>
          <w:color w:val="auto"/>
          <w:sz w:val="24"/>
          <w:szCs w:val="24"/>
        </w:rPr>
        <w:t>年</w:t>
      </w:r>
      <w:r>
        <w:rPr>
          <w:rFonts w:hint="eastAsia" w:asciiTheme="minorEastAsia" w:hAnsiTheme="minorEastAsia"/>
          <w:color w:val="0000FF"/>
          <w:sz w:val="24"/>
          <w:szCs w:val="24"/>
          <w:lang w:val="en-US" w:eastAsia="zh-CN"/>
        </w:rPr>
        <w:t>6</w:t>
      </w:r>
      <w:r>
        <w:rPr>
          <w:rFonts w:hint="eastAsia" w:asciiTheme="minorEastAsia" w:hAnsiTheme="minorEastAsia"/>
          <w:color w:val="0000FF"/>
          <w:sz w:val="24"/>
          <w:szCs w:val="24"/>
        </w:rPr>
        <w:t>月</w:t>
      </w:r>
      <w:r>
        <w:rPr>
          <w:rFonts w:hint="eastAsia" w:asciiTheme="minorEastAsia" w:hAnsiTheme="minorEastAsia"/>
          <w:color w:val="0000FF"/>
          <w:sz w:val="24"/>
          <w:szCs w:val="24"/>
          <w:lang w:val="en-US" w:eastAsia="zh-CN"/>
        </w:rPr>
        <w:t>16</w:t>
      </w:r>
      <w:r>
        <w:rPr>
          <w:rFonts w:hint="eastAsia" w:asciiTheme="minorEastAsia" w:hAnsiTheme="minorEastAsia"/>
          <w:color w:val="0000FF"/>
          <w:sz w:val="24"/>
          <w:szCs w:val="24"/>
        </w:rPr>
        <w:t>日</w:t>
      </w:r>
      <w:r>
        <w:rPr>
          <w:rFonts w:hint="eastAsia" w:asciiTheme="minorEastAsia" w:hAnsiTheme="minorEastAsia"/>
          <w:sz w:val="24"/>
          <w:szCs w:val="24"/>
        </w:rPr>
        <w:t>1</w:t>
      </w:r>
      <w:r>
        <w:rPr>
          <w:rFonts w:hint="eastAsia" w:asciiTheme="minorEastAsia" w:hAnsiTheme="minorEastAsia"/>
          <w:sz w:val="24"/>
          <w:szCs w:val="24"/>
          <w:lang w:val="en-US" w:eastAsia="zh-CN"/>
        </w:rPr>
        <w:t>7</w:t>
      </w:r>
      <w:r>
        <w:rPr>
          <w:rFonts w:hint="eastAsia" w:asciiTheme="minorEastAsia" w:hAnsiTheme="minorEastAsia"/>
          <w:sz w:val="24"/>
          <w:szCs w:val="24"/>
        </w:rPr>
        <w:t>:00，逾期则投标书无效。</w:t>
      </w:r>
    </w:p>
    <w:p w14:paraId="5EFE6BB1">
      <w:pPr>
        <w:pStyle w:val="19"/>
        <w:numPr>
          <w:ilvl w:val="0"/>
          <w:numId w:val="14"/>
        </w:numPr>
        <w:spacing w:line="360" w:lineRule="auto"/>
        <w:ind w:left="426" w:right="-143" w:rightChars="-68" w:hanging="426" w:firstLineChars="0"/>
        <w:rPr>
          <w:rFonts w:asciiTheme="minorEastAsia" w:hAnsiTheme="minorEastAsia"/>
          <w:sz w:val="24"/>
          <w:szCs w:val="24"/>
        </w:rPr>
      </w:pPr>
      <w:r>
        <w:rPr>
          <w:rFonts w:hint="eastAsia" w:asciiTheme="minorEastAsia" w:hAnsiTheme="minorEastAsia"/>
          <w:sz w:val="24"/>
          <w:szCs w:val="24"/>
        </w:rPr>
        <w:t>投标文件的组成：</w:t>
      </w:r>
    </w:p>
    <w:p w14:paraId="186E677B">
      <w:pPr>
        <w:pStyle w:val="19"/>
        <w:numPr>
          <w:ilvl w:val="0"/>
          <w:numId w:val="15"/>
        </w:numPr>
        <w:snapToGrid w:val="0"/>
        <w:spacing w:line="360" w:lineRule="auto"/>
        <w:ind w:firstLine="6" w:firstLineChars="0"/>
        <w:jc w:val="left"/>
        <w:rPr>
          <w:rStyle w:val="24"/>
          <w:rFonts w:asciiTheme="minorEastAsia" w:hAnsiTheme="minorEastAsia"/>
          <w:lang w:val="zh-CN"/>
        </w:rPr>
      </w:pPr>
      <w:r>
        <w:rPr>
          <w:rStyle w:val="24"/>
          <w:rFonts w:hint="eastAsia" w:asciiTheme="minorEastAsia" w:hAnsiTheme="minorEastAsia"/>
          <w:lang w:val="zh-CN"/>
        </w:rPr>
        <w:t xml:space="preserve">电子标书+纸质标书 </w:t>
      </w:r>
    </w:p>
    <w:p w14:paraId="0F4613BE">
      <w:pPr>
        <w:pStyle w:val="19"/>
        <w:numPr>
          <w:ilvl w:val="0"/>
          <w:numId w:val="15"/>
        </w:numPr>
        <w:snapToGrid w:val="0"/>
        <w:spacing w:line="360" w:lineRule="auto"/>
        <w:ind w:firstLine="6" w:firstLineChars="0"/>
        <w:jc w:val="left"/>
        <w:rPr>
          <w:rFonts w:asciiTheme="minorEastAsia" w:hAnsiTheme="minorEastAsia"/>
          <w:sz w:val="24"/>
          <w:szCs w:val="24"/>
        </w:rPr>
      </w:pPr>
      <w:r>
        <w:rPr>
          <w:rStyle w:val="24"/>
          <w:rFonts w:hint="eastAsia" w:asciiTheme="minorEastAsia" w:hAnsiTheme="minorEastAsia"/>
          <w:lang w:val="zh-CN"/>
        </w:rPr>
        <w:t>说明：纸质投标文件1份，电子U盘1份。（投标文件需密封并加盖公章，</w:t>
      </w:r>
      <w:r>
        <w:rPr>
          <w:rStyle w:val="24"/>
          <w:rFonts w:hint="eastAsia" w:asciiTheme="minorEastAsia" w:hAnsiTheme="minorEastAsia"/>
          <w:lang w:val="en-US" w:eastAsia="zh-CN"/>
        </w:rPr>
        <w:t>U盘与纸质投标文件一起密封在文件袋内</w:t>
      </w:r>
      <w:r>
        <w:rPr>
          <w:rStyle w:val="24"/>
          <w:rFonts w:hint="eastAsia" w:asciiTheme="minorEastAsia" w:hAnsiTheme="minorEastAsia"/>
          <w:lang w:val="zh-CN"/>
        </w:rPr>
        <w:t>）</w:t>
      </w:r>
    </w:p>
    <w:p w14:paraId="06DF4B0A">
      <w:pPr>
        <w:pStyle w:val="19"/>
        <w:numPr>
          <w:ilvl w:val="0"/>
          <w:numId w:val="14"/>
        </w:numPr>
        <w:spacing w:line="360" w:lineRule="auto"/>
        <w:ind w:left="426" w:right="-143" w:rightChars="-68" w:hanging="426" w:firstLineChars="0"/>
        <w:rPr>
          <w:rFonts w:asciiTheme="minorEastAsia" w:hAnsiTheme="minorEastAsia"/>
          <w:sz w:val="24"/>
          <w:szCs w:val="24"/>
        </w:rPr>
      </w:pPr>
      <w:bookmarkStart w:id="12" w:name="_Toc389065128"/>
      <w:r>
        <w:rPr>
          <w:rFonts w:hint="eastAsia" w:asciiTheme="minorEastAsia" w:hAnsiTheme="minorEastAsia"/>
          <w:sz w:val="24"/>
          <w:szCs w:val="24"/>
        </w:rPr>
        <w:t>招标机构名称：重庆冠达世纪游轮有限公司</w:t>
      </w:r>
    </w:p>
    <w:p w14:paraId="4DDA007B">
      <w:pPr>
        <w:pStyle w:val="19"/>
        <w:spacing w:line="360" w:lineRule="auto"/>
        <w:ind w:left="426" w:right="-143" w:rightChars="-68" w:firstLine="0" w:firstLineChars="0"/>
        <w:rPr>
          <w:rFonts w:asciiTheme="minorEastAsia" w:hAnsiTheme="minorEastAsia"/>
          <w:sz w:val="24"/>
          <w:szCs w:val="24"/>
        </w:rPr>
      </w:pPr>
      <w:r>
        <w:rPr>
          <w:rFonts w:hint="eastAsia" w:asciiTheme="minorEastAsia" w:hAnsiTheme="minorEastAsia"/>
          <w:sz w:val="24"/>
          <w:szCs w:val="24"/>
        </w:rPr>
        <w:t>详细地址：重庆市江北区庆云路6号国金中心T5写字楼18层</w:t>
      </w:r>
    </w:p>
    <w:p w14:paraId="708BD16A">
      <w:pPr>
        <w:pStyle w:val="19"/>
        <w:spacing w:line="360" w:lineRule="auto"/>
        <w:ind w:left="426" w:right="-143" w:rightChars="-68" w:firstLine="0" w:firstLineChars="0"/>
        <w:rPr>
          <w:rFonts w:asciiTheme="minorEastAsia" w:hAnsiTheme="minorEastAsia"/>
          <w:color w:val="0000FF"/>
          <w:sz w:val="24"/>
          <w:szCs w:val="24"/>
        </w:rPr>
      </w:pPr>
      <w:r>
        <w:rPr>
          <w:rFonts w:hint="eastAsia" w:asciiTheme="minorEastAsia" w:hAnsiTheme="minorEastAsia"/>
          <w:color w:val="0000FF"/>
          <w:sz w:val="24"/>
          <w:szCs w:val="24"/>
        </w:rPr>
        <w:t>联 系 人：</w:t>
      </w:r>
      <w:r>
        <w:rPr>
          <w:rFonts w:hint="eastAsia" w:asciiTheme="minorEastAsia" w:hAnsiTheme="minorEastAsia"/>
          <w:color w:val="0000FF"/>
          <w:sz w:val="24"/>
          <w:szCs w:val="24"/>
          <w:lang w:val="en-US" w:eastAsia="zh-CN"/>
        </w:rPr>
        <w:t>李老师</w:t>
      </w:r>
    </w:p>
    <w:p w14:paraId="4CD18177">
      <w:pPr>
        <w:pStyle w:val="19"/>
        <w:spacing w:line="360" w:lineRule="auto"/>
        <w:ind w:left="426" w:right="-143" w:rightChars="-68" w:firstLine="0" w:firstLineChars="0"/>
        <w:rPr>
          <w:rFonts w:hint="eastAsia" w:asciiTheme="minorEastAsia" w:hAnsiTheme="minorEastAsia"/>
          <w:color w:val="0000FF"/>
          <w:sz w:val="24"/>
          <w:szCs w:val="24"/>
        </w:rPr>
      </w:pPr>
      <w:r>
        <w:rPr>
          <w:rFonts w:asciiTheme="minorEastAsia" w:hAnsiTheme="minorEastAsia"/>
          <w:color w:val="0000FF"/>
          <w:sz w:val="24"/>
          <w:szCs w:val="24"/>
        </w:rPr>
        <w:t>电</w:t>
      </w:r>
      <w:r>
        <w:rPr>
          <w:rFonts w:hint="eastAsia" w:asciiTheme="minorEastAsia" w:hAnsiTheme="minorEastAsia"/>
          <w:color w:val="0000FF"/>
          <w:sz w:val="24"/>
          <w:szCs w:val="24"/>
        </w:rPr>
        <w:t xml:space="preserve">    </w:t>
      </w:r>
      <w:r>
        <w:rPr>
          <w:rFonts w:asciiTheme="minorEastAsia" w:hAnsiTheme="minorEastAsia"/>
          <w:color w:val="0000FF"/>
          <w:sz w:val="24"/>
          <w:szCs w:val="24"/>
        </w:rPr>
        <w:t>话：</w:t>
      </w:r>
      <w:r>
        <w:rPr>
          <w:rFonts w:ascii="宋体" w:hAnsi="宋体" w:eastAsia="宋体" w:cs="宋体"/>
          <w:color w:val="0000FF"/>
          <w:sz w:val="24"/>
          <w:szCs w:val="24"/>
        </w:rPr>
        <w:t>13983857537</w:t>
      </w:r>
    </w:p>
    <w:bookmarkEnd w:id="12"/>
    <w:p w14:paraId="18CF97BD">
      <w:pPr>
        <w:pStyle w:val="19"/>
        <w:numPr>
          <w:ilvl w:val="0"/>
          <w:numId w:val="14"/>
        </w:numPr>
        <w:spacing w:line="360" w:lineRule="auto"/>
        <w:ind w:left="426" w:right="-143" w:rightChars="-68" w:hanging="426" w:firstLineChars="0"/>
        <w:rPr>
          <w:rFonts w:hint="eastAsia" w:asciiTheme="minorEastAsia" w:hAnsiTheme="minorEastAsia"/>
          <w:sz w:val="24"/>
          <w:szCs w:val="24"/>
        </w:rPr>
      </w:pPr>
      <w:r>
        <w:rPr>
          <w:rFonts w:hint="eastAsia" w:asciiTheme="minorEastAsia" w:hAnsiTheme="minorEastAsia"/>
          <w:sz w:val="24"/>
          <w:szCs w:val="24"/>
        </w:rPr>
        <w:t>项目咨询：</w:t>
      </w:r>
    </w:p>
    <w:p w14:paraId="37E710E1">
      <w:pPr>
        <w:pStyle w:val="19"/>
        <w:spacing w:line="360" w:lineRule="auto"/>
        <w:ind w:left="426" w:right="-143" w:rightChars="-68" w:firstLine="0" w:firstLineChars="0"/>
        <w:rPr>
          <w:rFonts w:hint="eastAsia" w:asciiTheme="minorEastAsia" w:hAnsiTheme="minorEastAsia" w:eastAsiaTheme="minorEastAsia"/>
          <w:sz w:val="24"/>
          <w:szCs w:val="24"/>
          <w:lang w:eastAsia="zh-CN"/>
        </w:rPr>
      </w:pPr>
      <w:r>
        <w:rPr>
          <w:rFonts w:hint="eastAsia" w:asciiTheme="minorEastAsia" w:hAnsiTheme="minorEastAsia"/>
          <w:sz w:val="24"/>
          <w:szCs w:val="24"/>
        </w:rPr>
        <w:t>联系人：</w:t>
      </w:r>
      <w:r>
        <w:rPr>
          <w:rFonts w:hint="eastAsia" w:asciiTheme="minorEastAsia" w:hAnsiTheme="minorEastAsia"/>
          <w:sz w:val="24"/>
          <w:szCs w:val="24"/>
          <w:lang w:val="en-US" w:eastAsia="zh-CN"/>
        </w:rPr>
        <w:t>杨女士</w:t>
      </w:r>
    </w:p>
    <w:p w14:paraId="727C04A8">
      <w:pPr>
        <w:pStyle w:val="19"/>
        <w:spacing w:line="360" w:lineRule="auto"/>
        <w:ind w:left="426" w:right="-143" w:rightChars="-68" w:firstLine="0" w:firstLineChars="0"/>
        <w:rPr>
          <w:rFonts w:hint="eastAsia" w:asciiTheme="minorEastAsia" w:hAnsiTheme="minorEastAsia"/>
          <w:sz w:val="24"/>
          <w:szCs w:val="24"/>
        </w:rPr>
      </w:pPr>
      <w:r>
        <w:rPr>
          <w:rFonts w:asciiTheme="minorEastAsia" w:hAnsiTheme="minorEastAsia"/>
          <w:sz w:val="24"/>
          <w:szCs w:val="24"/>
        </w:rPr>
        <w:t>电</w:t>
      </w:r>
      <w:r>
        <w:rPr>
          <w:rFonts w:hint="eastAsia" w:asciiTheme="minorEastAsia" w:hAnsiTheme="minorEastAsia"/>
          <w:sz w:val="24"/>
          <w:szCs w:val="24"/>
        </w:rPr>
        <w:t xml:space="preserve">  </w:t>
      </w:r>
      <w:r>
        <w:rPr>
          <w:rFonts w:asciiTheme="minorEastAsia" w:hAnsiTheme="minorEastAsia"/>
          <w:sz w:val="24"/>
          <w:szCs w:val="24"/>
        </w:rPr>
        <w:t>话：</w:t>
      </w:r>
      <w:r>
        <w:rPr>
          <w:rFonts w:hint="eastAsia" w:asciiTheme="minorEastAsia" w:hAnsiTheme="minorEastAsia"/>
          <w:sz w:val="24"/>
          <w:szCs w:val="24"/>
          <w:lang w:val="en-US" w:eastAsia="zh-CN"/>
        </w:rPr>
        <w:t>13983177636（微信同号）</w:t>
      </w:r>
    </w:p>
    <w:p w14:paraId="52E599CF">
      <w:pPr>
        <w:pStyle w:val="19"/>
        <w:numPr>
          <w:ilvl w:val="0"/>
          <w:numId w:val="14"/>
        </w:numPr>
        <w:spacing w:line="360" w:lineRule="auto"/>
        <w:ind w:left="426" w:right="-143" w:rightChars="-68" w:hanging="426" w:firstLineChars="0"/>
        <w:rPr>
          <w:rFonts w:asciiTheme="minorEastAsia" w:hAnsiTheme="minorEastAsia"/>
          <w:sz w:val="24"/>
          <w:szCs w:val="24"/>
        </w:rPr>
      </w:pPr>
      <w:r>
        <w:rPr>
          <w:rFonts w:hint="eastAsia" w:asciiTheme="minorEastAsia" w:hAnsiTheme="minorEastAsia"/>
          <w:sz w:val="24"/>
          <w:szCs w:val="24"/>
        </w:rPr>
        <w:t>开标时间：202</w:t>
      </w:r>
      <w:r>
        <w:rPr>
          <w:rFonts w:hint="eastAsia" w:asciiTheme="minorEastAsia" w:hAnsiTheme="minorEastAsia"/>
          <w:sz w:val="24"/>
          <w:szCs w:val="24"/>
          <w:lang w:val="en-US" w:eastAsia="zh-CN"/>
        </w:rPr>
        <w:t>5</w:t>
      </w:r>
      <w:r>
        <w:rPr>
          <w:rFonts w:hint="eastAsia" w:asciiTheme="minorEastAsia" w:hAnsiTheme="minorEastAsia"/>
          <w:sz w:val="24"/>
          <w:szCs w:val="24"/>
        </w:rPr>
        <w:t>年</w:t>
      </w:r>
      <w:r>
        <w:rPr>
          <w:rFonts w:hint="eastAsia" w:asciiTheme="minorEastAsia" w:hAnsiTheme="minorEastAsia"/>
          <w:color w:val="0000FF"/>
          <w:sz w:val="24"/>
          <w:szCs w:val="24"/>
          <w:lang w:val="en-US" w:eastAsia="zh-CN"/>
        </w:rPr>
        <w:t>6</w:t>
      </w:r>
      <w:r>
        <w:rPr>
          <w:rFonts w:hint="eastAsia" w:asciiTheme="minorEastAsia" w:hAnsiTheme="minorEastAsia"/>
          <w:color w:val="0000FF"/>
          <w:sz w:val="24"/>
          <w:szCs w:val="24"/>
        </w:rPr>
        <w:t>月</w:t>
      </w:r>
      <w:r>
        <w:rPr>
          <w:rFonts w:hint="eastAsia" w:asciiTheme="minorEastAsia" w:hAnsiTheme="minorEastAsia"/>
          <w:color w:val="0000FF"/>
          <w:sz w:val="24"/>
          <w:szCs w:val="24"/>
          <w:lang w:val="en-US" w:eastAsia="zh-CN"/>
        </w:rPr>
        <w:t>17</w:t>
      </w:r>
      <w:r>
        <w:rPr>
          <w:rFonts w:hint="eastAsia" w:asciiTheme="minorEastAsia" w:hAnsiTheme="minorEastAsia"/>
          <w:color w:val="0000FF"/>
          <w:sz w:val="24"/>
          <w:szCs w:val="24"/>
        </w:rPr>
        <w:t>日</w:t>
      </w:r>
      <w:r>
        <w:rPr>
          <w:rFonts w:hint="eastAsia" w:asciiTheme="minorEastAsia" w:hAnsiTheme="minorEastAsia"/>
          <w:sz w:val="24"/>
          <w:szCs w:val="24"/>
        </w:rPr>
        <w:t>，需投标方现场讲标、议标，讲标会具体时间另行通知。</w:t>
      </w: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Noto Sans Mono CJK JP Bold">
    <w:altName w:val="Arial"/>
    <w:panose1 w:val="00000000000000000000"/>
    <w:charset w:val="00"/>
    <w:family w:val="swiss"/>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AFAE1D"/>
    <w:multiLevelType w:val="singleLevel"/>
    <w:tmpl w:val="BDAFAE1D"/>
    <w:lvl w:ilvl="0" w:tentative="0">
      <w:start w:val="1"/>
      <w:numFmt w:val="decimalEnclosedCircleChinese"/>
      <w:suff w:val="nothing"/>
      <w:lvlText w:val="%1　"/>
      <w:lvlJc w:val="left"/>
      <w:pPr>
        <w:ind w:left="0" w:firstLine="400"/>
      </w:pPr>
      <w:rPr>
        <w:rFonts w:hint="eastAsia"/>
      </w:rPr>
    </w:lvl>
  </w:abstractNum>
  <w:abstractNum w:abstractNumId="1">
    <w:nsid w:val="D25F927D"/>
    <w:multiLevelType w:val="singleLevel"/>
    <w:tmpl w:val="D25F927D"/>
    <w:lvl w:ilvl="0" w:tentative="0">
      <w:start w:val="1"/>
      <w:numFmt w:val="decimalEnclosedCircleChinese"/>
      <w:suff w:val="nothing"/>
      <w:lvlText w:val="%1　"/>
      <w:lvlJc w:val="left"/>
      <w:pPr>
        <w:ind w:left="0" w:firstLine="400"/>
      </w:pPr>
      <w:rPr>
        <w:rFonts w:hint="eastAsia"/>
      </w:rPr>
    </w:lvl>
  </w:abstractNum>
  <w:abstractNum w:abstractNumId="2">
    <w:nsid w:val="F2285EAB"/>
    <w:multiLevelType w:val="singleLevel"/>
    <w:tmpl w:val="F2285EAB"/>
    <w:lvl w:ilvl="0" w:tentative="0">
      <w:start w:val="1"/>
      <w:numFmt w:val="decimalEnclosedCircleChinese"/>
      <w:suff w:val="nothing"/>
      <w:lvlText w:val="%1　"/>
      <w:lvlJc w:val="left"/>
      <w:pPr>
        <w:ind w:left="0" w:firstLine="400"/>
      </w:pPr>
      <w:rPr>
        <w:rFonts w:hint="eastAsia"/>
      </w:rPr>
    </w:lvl>
  </w:abstractNum>
  <w:abstractNum w:abstractNumId="3">
    <w:nsid w:val="197C4CC0"/>
    <w:multiLevelType w:val="multilevel"/>
    <w:tmpl w:val="197C4CC0"/>
    <w:lvl w:ilvl="0" w:tentative="0">
      <w:start w:val="1"/>
      <w:numFmt w:val="decimal"/>
      <w:lvlText w:val="%1、"/>
      <w:lvlJc w:val="left"/>
      <w:pPr>
        <w:ind w:left="986"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1A266CFF"/>
    <w:multiLevelType w:val="multilevel"/>
    <w:tmpl w:val="1A266CFF"/>
    <w:lvl w:ilvl="0" w:tentative="0">
      <w:start w:val="1"/>
      <w:numFmt w:val="decimal"/>
      <w:lvlText w:val="%1、"/>
      <w:lvlJc w:val="left"/>
      <w:pPr>
        <w:ind w:left="986"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21A863D3"/>
    <w:multiLevelType w:val="multilevel"/>
    <w:tmpl w:val="21A863D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21CF36DA"/>
    <w:multiLevelType w:val="multilevel"/>
    <w:tmpl w:val="21CF36DA"/>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29575D8B"/>
    <w:multiLevelType w:val="singleLevel"/>
    <w:tmpl w:val="29575D8B"/>
    <w:lvl w:ilvl="0" w:tentative="0">
      <w:start w:val="1"/>
      <w:numFmt w:val="decimalEnclosedCircleChinese"/>
      <w:suff w:val="nothing"/>
      <w:lvlText w:val="%1　"/>
      <w:lvlJc w:val="left"/>
      <w:pPr>
        <w:ind w:left="0" w:firstLine="400"/>
      </w:pPr>
      <w:rPr>
        <w:rFonts w:hint="eastAsia"/>
      </w:rPr>
    </w:lvl>
  </w:abstractNum>
  <w:abstractNum w:abstractNumId="8">
    <w:nsid w:val="406E0F55"/>
    <w:multiLevelType w:val="multilevel"/>
    <w:tmpl w:val="406E0F5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40733ED8"/>
    <w:multiLevelType w:val="multilevel"/>
    <w:tmpl w:val="40733ED8"/>
    <w:lvl w:ilvl="0" w:tentative="0">
      <w:start w:val="1"/>
      <w:numFmt w:val="chineseCountingThousand"/>
      <w:lvlText w:val="%1、"/>
      <w:lvlJc w:val="left"/>
      <w:pPr>
        <w:ind w:left="420" w:hanging="420"/>
      </w:pPr>
      <w:rPr>
        <w:sz w:val="3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54545CBD"/>
    <w:multiLevelType w:val="multilevel"/>
    <w:tmpl w:val="54545CBD"/>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5A4252C2"/>
    <w:multiLevelType w:val="multilevel"/>
    <w:tmpl w:val="5A4252C2"/>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672C4C59"/>
    <w:multiLevelType w:val="multilevel"/>
    <w:tmpl w:val="672C4C59"/>
    <w:lvl w:ilvl="0" w:tentative="0">
      <w:start w:val="1"/>
      <w:numFmt w:val="decimal"/>
      <w:lvlText w:val="%1、"/>
      <w:lvlJc w:val="left"/>
      <w:pPr>
        <w:ind w:left="986"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6BCC3668"/>
    <w:multiLevelType w:val="multilevel"/>
    <w:tmpl w:val="6BCC3668"/>
    <w:lvl w:ilvl="0" w:tentative="0">
      <w:start w:val="1"/>
      <w:numFmt w:val="decimal"/>
      <w:lvlText w:val="%1、"/>
      <w:lvlJc w:val="left"/>
      <w:pPr>
        <w:ind w:left="986" w:hanging="420"/>
      </w:pPr>
      <w:rPr>
        <w:rFonts w:hint="eastAsia"/>
        <w:b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6E592B54"/>
    <w:multiLevelType w:val="multilevel"/>
    <w:tmpl w:val="6E592B54"/>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9"/>
  </w:num>
  <w:num w:numId="2">
    <w:abstractNumId w:val="13"/>
  </w:num>
  <w:num w:numId="3">
    <w:abstractNumId w:val="12"/>
  </w:num>
  <w:num w:numId="4">
    <w:abstractNumId w:val="3"/>
  </w:num>
  <w:num w:numId="5">
    <w:abstractNumId w:val="6"/>
  </w:num>
  <w:num w:numId="6">
    <w:abstractNumId w:val="14"/>
  </w:num>
  <w:num w:numId="7">
    <w:abstractNumId w:val="8"/>
  </w:num>
  <w:num w:numId="8">
    <w:abstractNumId w:val="10"/>
  </w:num>
  <w:num w:numId="9">
    <w:abstractNumId w:val="0"/>
  </w:num>
  <w:num w:numId="10">
    <w:abstractNumId w:val="2"/>
  </w:num>
  <w:num w:numId="11">
    <w:abstractNumId w:val="7"/>
  </w:num>
  <w:num w:numId="12">
    <w:abstractNumId w:val="1"/>
  </w:num>
  <w:num w:numId="13">
    <w:abstractNumId w:val="5"/>
  </w:num>
  <w:num w:numId="14">
    <w:abstractNumId w:val="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jYTdmMjk3Y2VlMjZjMjJjOTYyMTc2ODI3YWU2OTAifQ=="/>
  </w:docVars>
  <w:rsids>
    <w:rsidRoot w:val="0052473F"/>
    <w:rsid w:val="0000591D"/>
    <w:rsid w:val="00005C8B"/>
    <w:rsid w:val="0004299C"/>
    <w:rsid w:val="0004469D"/>
    <w:rsid w:val="00045E9C"/>
    <w:rsid w:val="00047D87"/>
    <w:rsid w:val="00064304"/>
    <w:rsid w:val="000645B7"/>
    <w:rsid w:val="00065C33"/>
    <w:rsid w:val="0007301D"/>
    <w:rsid w:val="00077304"/>
    <w:rsid w:val="00080291"/>
    <w:rsid w:val="000A1700"/>
    <w:rsid w:val="000A283E"/>
    <w:rsid w:val="000A61BC"/>
    <w:rsid w:val="000B6006"/>
    <w:rsid w:val="000D2B28"/>
    <w:rsid w:val="000D52AD"/>
    <w:rsid w:val="000E4685"/>
    <w:rsid w:val="000F251F"/>
    <w:rsid w:val="000F7255"/>
    <w:rsid w:val="00106169"/>
    <w:rsid w:val="00113F79"/>
    <w:rsid w:val="0013418F"/>
    <w:rsid w:val="00140FBA"/>
    <w:rsid w:val="001531C4"/>
    <w:rsid w:val="00157EAE"/>
    <w:rsid w:val="00160EF8"/>
    <w:rsid w:val="0016741C"/>
    <w:rsid w:val="00182FDE"/>
    <w:rsid w:val="00192B35"/>
    <w:rsid w:val="001A7326"/>
    <w:rsid w:val="001C1DA8"/>
    <w:rsid w:val="001C7730"/>
    <w:rsid w:val="001C7B1F"/>
    <w:rsid w:val="001E0D7D"/>
    <w:rsid w:val="00202177"/>
    <w:rsid w:val="0020615A"/>
    <w:rsid w:val="0020709E"/>
    <w:rsid w:val="00215F4A"/>
    <w:rsid w:val="002177FC"/>
    <w:rsid w:val="00221EA2"/>
    <w:rsid w:val="00222197"/>
    <w:rsid w:val="002301EC"/>
    <w:rsid w:val="00235E25"/>
    <w:rsid w:val="00252656"/>
    <w:rsid w:val="00255FFA"/>
    <w:rsid w:val="0026612B"/>
    <w:rsid w:val="00283F4F"/>
    <w:rsid w:val="00292BAB"/>
    <w:rsid w:val="002A3942"/>
    <w:rsid w:val="002C205D"/>
    <w:rsid w:val="002C386C"/>
    <w:rsid w:val="002C7667"/>
    <w:rsid w:val="002D1FB6"/>
    <w:rsid w:val="002D4D54"/>
    <w:rsid w:val="002E01C1"/>
    <w:rsid w:val="002E1E28"/>
    <w:rsid w:val="002E5F9B"/>
    <w:rsid w:val="002F35CE"/>
    <w:rsid w:val="00300230"/>
    <w:rsid w:val="00311092"/>
    <w:rsid w:val="0032408D"/>
    <w:rsid w:val="003320CA"/>
    <w:rsid w:val="0033371F"/>
    <w:rsid w:val="00364961"/>
    <w:rsid w:val="00391FE4"/>
    <w:rsid w:val="003A1AD2"/>
    <w:rsid w:val="003A7993"/>
    <w:rsid w:val="003B52D7"/>
    <w:rsid w:val="003C537D"/>
    <w:rsid w:val="003C7980"/>
    <w:rsid w:val="003D3D95"/>
    <w:rsid w:val="003D7E79"/>
    <w:rsid w:val="003F667C"/>
    <w:rsid w:val="00405839"/>
    <w:rsid w:val="004064F6"/>
    <w:rsid w:val="00407154"/>
    <w:rsid w:val="004232FA"/>
    <w:rsid w:val="00446FD9"/>
    <w:rsid w:val="00447F68"/>
    <w:rsid w:val="004519AA"/>
    <w:rsid w:val="00455740"/>
    <w:rsid w:val="00456DB1"/>
    <w:rsid w:val="004659B7"/>
    <w:rsid w:val="004719CC"/>
    <w:rsid w:val="0047359C"/>
    <w:rsid w:val="00481674"/>
    <w:rsid w:val="00486E11"/>
    <w:rsid w:val="004A2611"/>
    <w:rsid w:val="004A601E"/>
    <w:rsid w:val="004E10D6"/>
    <w:rsid w:val="004E404C"/>
    <w:rsid w:val="004F7579"/>
    <w:rsid w:val="00504191"/>
    <w:rsid w:val="00506CE2"/>
    <w:rsid w:val="0052473F"/>
    <w:rsid w:val="00534B0C"/>
    <w:rsid w:val="00534B23"/>
    <w:rsid w:val="0055390C"/>
    <w:rsid w:val="00571C36"/>
    <w:rsid w:val="005A0C0C"/>
    <w:rsid w:val="005A143C"/>
    <w:rsid w:val="005A2737"/>
    <w:rsid w:val="005A333C"/>
    <w:rsid w:val="005A3543"/>
    <w:rsid w:val="005A720C"/>
    <w:rsid w:val="005C2385"/>
    <w:rsid w:val="005C3DF7"/>
    <w:rsid w:val="005D0C01"/>
    <w:rsid w:val="005D3799"/>
    <w:rsid w:val="005E23CA"/>
    <w:rsid w:val="005E5786"/>
    <w:rsid w:val="006001BA"/>
    <w:rsid w:val="00613D3A"/>
    <w:rsid w:val="00626518"/>
    <w:rsid w:val="006326BD"/>
    <w:rsid w:val="00674A60"/>
    <w:rsid w:val="00680F41"/>
    <w:rsid w:val="00697507"/>
    <w:rsid w:val="00697C62"/>
    <w:rsid w:val="006B5A5A"/>
    <w:rsid w:val="006C64B8"/>
    <w:rsid w:val="006D4F95"/>
    <w:rsid w:val="006E34C1"/>
    <w:rsid w:val="006F022D"/>
    <w:rsid w:val="0070121A"/>
    <w:rsid w:val="007058B6"/>
    <w:rsid w:val="007165A3"/>
    <w:rsid w:val="00721D83"/>
    <w:rsid w:val="007349FC"/>
    <w:rsid w:val="00740F99"/>
    <w:rsid w:val="00756692"/>
    <w:rsid w:val="00760C1E"/>
    <w:rsid w:val="00766AE5"/>
    <w:rsid w:val="00766CE2"/>
    <w:rsid w:val="00767A45"/>
    <w:rsid w:val="00775610"/>
    <w:rsid w:val="00781467"/>
    <w:rsid w:val="00792DBD"/>
    <w:rsid w:val="007A5709"/>
    <w:rsid w:val="007B6BDD"/>
    <w:rsid w:val="007D38A7"/>
    <w:rsid w:val="007E1697"/>
    <w:rsid w:val="00800FC7"/>
    <w:rsid w:val="00810CF4"/>
    <w:rsid w:val="00836D2C"/>
    <w:rsid w:val="008752FC"/>
    <w:rsid w:val="00877C3F"/>
    <w:rsid w:val="008841AF"/>
    <w:rsid w:val="008861C2"/>
    <w:rsid w:val="00886991"/>
    <w:rsid w:val="00891596"/>
    <w:rsid w:val="008927FC"/>
    <w:rsid w:val="008933DC"/>
    <w:rsid w:val="008B6354"/>
    <w:rsid w:val="008B7213"/>
    <w:rsid w:val="008D3DAA"/>
    <w:rsid w:val="008D71DB"/>
    <w:rsid w:val="009327F6"/>
    <w:rsid w:val="009369B9"/>
    <w:rsid w:val="00942D83"/>
    <w:rsid w:val="00965387"/>
    <w:rsid w:val="009674A8"/>
    <w:rsid w:val="00972E86"/>
    <w:rsid w:val="00972F39"/>
    <w:rsid w:val="009761A3"/>
    <w:rsid w:val="00984ABC"/>
    <w:rsid w:val="009A0658"/>
    <w:rsid w:val="009C1F30"/>
    <w:rsid w:val="009E26D4"/>
    <w:rsid w:val="009F0408"/>
    <w:rsid w:val="00A01DE2"/>
    <w:rsid w:val="00A3160B"/>
    <w:rsid w:val="00A36717"/>
    <w:rsid w:val="00A40323"/>
    <w:rsid w:val="00A61AAC"/>
    <w:rsid w:val="00A70F1B"/>
    <w:rsid w:val="00A90B36"/>
    <w:rsid w:val="00A9367E"/>
    <w:rsid w:val="00AA0798"/>
    <w:rsid w:val="00AA243B"/>
    <w:rsid w:val="00AD10E6"/>
    <w:rsid w:val="00AD5E26"/>
    <w:rsid w:val="00AD6020"/>
    <w:rsid w:val="00AF745A"/>
    <w:rsid w:val="00B30B0B"/>
    <w:rsid w:val="00B31C78"/>
    <w:rsid w:val="00B40AB5"/>
    <w:rsid w:val="00B51A73"/>
    <w:rsid w:val="00B609BA"/>
    <w:rsid w:val="00B64168"/>
    <w:rsid w:val="00B84AC9"/>
    <w:rsid w:val="00B869FC"/>
    <w:rsid w:val="00B87704"/>
    <w:rsid w:val="00BA2F96"/>
    <w:rsid w:val="00BA4932"/>
    <w:rsid w:val="00BB0F40"/>
    <w:rsid w:val="00BB65BE"/>
    <w:rsid w:val="00BE49F2"/>
    <w:rsid w:val="00BE7D2B"/>
    <w:rsid w:val="00BF1B0A"/>
    <w:rsid w:val="00BF34BF"/>
    <w:rsid w:val="00BF472F"/>
    <w:rsid w:val="00C327BB"/>
    <w:rsid w:val="00C342A4"/>
    <w:rsid w:val="00C37B33"/>
    <w:rsid w:val="00C5265C"/>
    <w:rsid w:val="00C55835"/>
    <w:rsid w:val="00C64E31"/>
    <w:rsid w:val="00C82F04"/>
    <w:rsid w:val="00C939CC"/>
    <w:rsid w:val="00CB634D"/>
    <w:rsid w:val="00CD4BEE"/>
    <w:rsid w:val="00CF216F"/>
    <w:rsid w:val="00CF24B7"/>
    <w:rsid w:val="00CF7CCC"/>
    <w:rsid w:val="00D00DEF"/>
    <w:rsid w:val="00D057D7"/>
    <w:rsid w:val="00D06445"/>
    <w:rsid w:val="00D2259B"/>
    <w:rsid w:val="00D245E5"/>
    <w:rsid w:val="00D24FF0"/>
    <w:rsid w:val="00D30E7D"/>
    <w:rsid w:val="00D40546"/>
    <w:rsid w:val="00D450F5"/>
    <w:rsid w:val="00D5084E"/>
    <w:rsid w:val="00D552BA"/>
    <w:rsid w:val="00D64E38"/>
    <w:rsid w:val="00DA5AE8"/>
    <w:rsid w:val="00DC0141"/>
    <w:rsid w:val="00DD79E9"/>
    <w:rsid w:val="00DE0545"/>
    <w:rsid w:val="00DE4E37"/>
    <w:rsid w:val="00DF1F22"/>
    <w:rsid w:val="00E25DE4"/>
    <w:rsid w:val="00E46D25"/>
    <w:rsid w:val="00E65452"/>
    <w:rsid w:val="00E675BD"/>
    <w:rsid w:val="00E775DB"/>
    <w:rsid w:val="00EB1A91"/>
    <w:rsid w:val="00EB240F"/>
    <w:rsid w:val="00EB3863"/>
    <w:rsid w:val="00EB4203"/>
    <w:rsid w:val="00EC1F67"/>
    <w:rsid w:val="00EE6044"/>
    <w:rsid w:val="00EF5D10"/>
    <w:rsid w:val="00F036A9"/>
    <w:rsid w:val="00F11586"/>
    <w:rsid w:val="00F15B98"/>
    <w:rsid w:val="00F36F4A"/>
    <w:rsid w:val="00F54A45"/>
    <w:rsid w:val="00F556B6"/>
    <w:rsid w:val="00F75432"/>
    <w:rsid w:val="00F76D07"/>
    <w:rsid w:val="00FA33F5"/>
    <w:rsid w:val="00FB510D"/>
    <w:rsid w:val="00FC62EB"/>
    <w:rsid w:val="00FC64A2"/>
    <w:rsid w:val="01541EA9"/>
    <w:rsid w:val="015A40C0"/>
    <w:rsid w:val="019329D2"/>
    <w:rsid w:val="01AA3877"/>
    <w:rsid w:val="01AA7D1B"/>
    <w:rsid w:val="01B6221C"/>
    <w:rsid w:val="02DB7FCF"/>
    <w:rsid w:val="02F474A0"/>
    <w:rsid w:val="03125B78"/>
    <w:rsid w:val="0394658D"/>
    <w:rsid w:val="03B9252D"/>
    <w:rsid w:val="03BE360A"/>
    <w:rsid w:val="03D91E8E"/>
    <w:rsid w:val="03F901D3"/>
    <w:rsid w:val="0450534A"/>
    <w:rsid w:val="04561A95"/>
    <w:rsid w:val="04714B20"/>
    <w:rsid w:val="04846602"/>
    <w:rsid w:val="04B62533"/>
    <w:rsid w:val="052D4EEB"/>
    <w:rsid w:val="05412745"/>
    <w:rsid w:val="05735A24"/>
    <w:rsid w:val="05777F14"/>
    <w:rsid w:val="05D9472B"/>
    <w:rsid w:val="05DC62C0"/>
    <w:rsid w:val="061614DB"/>
    <w:rsid w:val="063B7194"/>
    <w:rsid w:val="06826AEB"/>
    <w:rsid w:val="06BC02D5"/>
    <w:rsid w:val="06E525C9"/>
    <w:rsid w:val="077F716E"/>
    <w:rsid w:val="07E5385B"/>
    <w:rsid w:val="08601134"/>
    <w:rsid w:val="0882554E"/>
    <w:rsid w:val="08A2174C"/>
    <w:rsid w:val="08E41D65"/>
    <w:rsid w:val="09067F2D"/>
    <w:rsid w:val="095C7B4D"/>
    <w:rsid w:val="096E7880"/>
    <w:rsid w:val="097B71D6"/>
    <w:rsid w:val="09B96D4E"/>
    <w:rsid w:val="0A374116"/>
    <w:rsid w:val="0A8729A8"/>
    <w:rsid w:val="0AE918B4"/>
    <w:rsid w:val="0B1306DF"/>
    <w:rsid w:val="0B1F7084"/>
    <w:rsid w:val="0B5B264A"/>
    <w:rsid w:val="0B7A69B0"/>
    <w:rsid w:val="0BBA0B5B"/>
    <w:rsid w:val="0BF73B5D"/>
    <w:rsid w:val="0BFE313E"/>
    <w:rsid w:val="0C0149DC"/>
    <w:rsid w:val="0C8353F1"/>
    <w:rsid w:val="0C851169"/>
    <w:rsid w:val="0C9B098C"/>
    <w:rsid w:val="0C9F66CF"/>
    <w:rsid w:val="0CA041F5"/>
    <w:rsid w:val="0CA050B2"/>
    <w:rsid w:val="0CE81173"/>
    <w:rsid w:val="0D676F26"/>
    <w:rsid w:val="0D933D59"/>
    <w:rsid w:val="0DAE2941"/>
    <w:rsid w:val="0E214EC1"/>
    <w:rsid w:val="0EAF4BC3"/>
    <w:rsid w:val="0EB775D4"/>
    <w:rsid w:val="0EC817E1"/>
    <w:rsid w:val="0F1756A9"/>
    <w:rsid w:val="0FCE2E27"/>
    <w:rsid w:val="0FDA7A1E"/>
    <w:rsid w:val="102B2027"/>
    <w:rsid w:val="109E19C8"/>
    <w:rsid w:val="10AE65E2"/>
    <w:rsid w:val="10B4201D"/>
    <w:rsid w:val="10E072B6"/>
    <w:rsid w:val="10F20D97"/>
    <w:rsid w:val="112076B2"/>
    <w:rsid w:val="112E6273"/>
    <w:rsid w:val="114535BD"/>
    <w:rsid w:val="11567578"/>
    <w:rsid w:val="1230601B"/>
    <w:rsid w:val="123F1DBA"/>
    <w:rsid w:val="124E024F"/>
    <w:rsid w:val="12A32349"/>
    <w:rsid w:val="12B97DBE"/>
    <w:rsid w:val="130C6140"/>
    <w:rsid w:val="13453400"/>
    <w:rsid w:val="134A310C"/>
    <w:rsid w:val="136F153F"/>
    <w:rsid w:val="13B4669E"/>
    <w:rsid w:val="13E21FE9"/>
    <w:rsid w:val="13FD377C"/>
    <w:rsid w:val="141379A2"/>
    <w:rsid w:val="14294AD0"/>
    <w:rsid w:val="144A5D9E"/>
    <w:rsid w:val="147A532B"/>
    <w:rsid w:val="153E45AB"/>
    <w:rsid w:val="154871D8"/>
    <w:rsid w:val="158C17BA"/>
    <w:rsid w:val="15AF7257"/>
    <w:rsid w:val="164D719B"/>
    <w:rsid w:val="16612C47"/>
    <w:rsid w:val="16B34B25"/>
    <w:rsid w:val="17143815"/>
    <w:rsid w:val="173D7210"/>
    <w:rsid w:val="17732C32"/>
    <w:rsid w:val="177E5132"/>
    <w:rsid w:val="178D5376"/>
    <w:rsid w:val="180513B0"/>
    <w:rsid w:val="182C4B8E"/>
    <w:rsid w:val="183B3024"/>
    <w:rsid w:val="18534811"/>
    <w:rsid w:val="18891FE1"/>
    <w:rsid w:val="18BD1C8B"/>
    <w:rsid w:val="18D86AC4"/>
    <w:rsid w:val="18F338FE"/>
    <w:rsid w:val="18FC31A5"/>
    <w:rsid w:val="19260477"/>
    <w:rsid w:val="19677EEA"/>
    <w:rsid w:val="19A35324"/>
    <w:rsid w:val="19B04073"/>
    <w:rsid w:val="19BE7B68"/>
    <w:rsid w:val="19F636A6"/>
    <w:rsid w:val="1A197394"/>
    <w:rsid w:val="1A4A57A0"/>
    <w:rsid w:val="1A4E703E"/>
    <w:rsid w:val="1A935399"/>
    <w:rsid w:val="1A986467"/>
    <w:rsid w:val="1AA603CB"/>
    <w:rsid w:val="1ACD08AB"/>
    <w:rsid w:val="1AF220BF"/>
    <w:rsid w:val="1B261D69"/>
    <w:rsid w:val="1B3E5305"/>
    <w:rsid w:val="1B5543FC"/>
    <w:rsid w:val="1B966EEF"/>
    <w:rsid w:val="1BBB0703"/>
    <w:rsid w:val="1C6A3ED7"/>
    <w:rsid w:val="1CC45CDD"/>
    <w:rsid w:val="1DA358F3"/>
    <w:rsid w:val="1DB47B00"/>
    <w:rsid w:val="1E1B7B7F"/>
    <w:rsid w:val="1E2702D2"/>
    <w:rsid w:val="1E380731"/>
    <w:rsid w:val="1E5D3CF4"/>
    <w:rsid w:val="1E7E1EBC"/>
    <w:rsid w:val="1E7E3C6A"/>
    <w:rsid w:val="1E97124E"/>
    <w:rsid w:val="1F0049E8"/>
    <w:rsid w:val="1F0A0750"/>
    <w:rsid w:val="1F134CFA"/>
    <w:rsid w:val="1F275CB8"/>
    <w:rsid w:val="204038CD"/>
    <w:rsid w:val="2040567B"/>
    <w:rsid w:val="20542ED4"/>
    <w:rsid w:val="20962624"/>
    <w:rsid w:val="20D64231"/>
    <w:rsid w:val="210112AE"/>
    <w:rsid w:val="21676C37"/>
    <w:rsid w:val="219C2D85"/>
    <w:rsid w:val="21AD0AEE"/>
    <w:rsid w:val="21B207FA"/>
    <w:rsid w:val="21C61BB0"/>
    <w:rsid w:val="21FC1A76"/>
    <w:rsid w:val="22266AF2"/>
    <w:rsid w:val="237044C9"/>
    <w:rsid w:val="23AA76D2"/>
    <w:rsid w:val="23AE0B4E"/>
    <w:rsid w:val="23BE3486"/>
    <w:rsid w:val="241412F8"/>
    <w:rsid w:val="247A57B8"/>
    <w:rsid w:val="248B0E8F"/>
    <w:rsid w:val="24A02B8C"/>
    <w:rsid w:val="252C2672"/>
    <w:rsid w:val="25973F8F"/>
    <w:rsid w:val="25F34750"/>
    <w:rsid w:val="26202514"/>
    <w:rsid w:val="264A7253"/>
    <w:rsid w:val="26B71E3C"/>
    <w:rsid w:val="27075144"/>
    <w:rsid w:val="27A40BE5"/>
    <w:rsid w:val="27D05536"/>
    <w:rsid w:val="27FD02F5"/>
    <w:rsid w:val="2808007A"/>
    <w:rsid w:val="28235FAE"/>
    <w:rsid w:val="283A6E54"/>
    <w:rsid w:val="285578DB"/>
    <w:rsid w:val="294C5091"/>
    <w:rsid w:val="299913C4"/>
    <w:rsid w:val="29E03A2B"/>
    <w:rsid w:val="2A6A51D1"/>
    <w:rsid w:val="2ACF41CB"/>
    <w:rsid w:val="2AD76BDC"/>
    <w:rsid w:val="2B2C33CC"/>
    <w:rsid w:val="2B3E7A7B"/>
    <w:rsid w:val="2B5B15BB"/>
    <w:rsid w:val="2B942D1F"/>
    <w:rsid w:val="2BAA2542"/>
    <w:rsid w:val="2BBF4A75"/>
    <w:rsid w:val="2C0E0D23"/>
    <w:rsid w:val="2C9F6FA5"/>
    <w:rsid w:val="2D1759B5"/>
    <w:rsid w:val="2D216834"/>
    <w:rsid w:val="2D2500D2"/>
    <w:rsid w:val="2D3E2F42"/>
    <w:rsid w:val="2D483DC1"/>
    <w:rsid w:val="2D4C1DB6"/>
    <w:rsid w:val="2D662499"/>
    <w:rsid w:val="2DDE64D3"/>
    <w:rsid w:val="2E9C2616"/>
    <w:rsid w:val="2EAD6033"/>
    <w:rsid w:val="2EBF6305"/>
    <w:rsid w:val="2F6A6270"/>
    <w:rsid w:val="2FBE480E"/>
    <w:rsid w:val="305F1B4D"/>
    <w:rsid w:val="3077201F"/>
    <w:rsid w:val="30A47560"/>
    <w:rsid w:val="31295CB7"/>
    <w:rsid w:val="312B1A2F"/>
    <w:rsid w:val="31322DBE"/>
    <w:rsid w:val="31717D8A"/>
    <w:rsid w:val="31CF2D03"/>
    <w:rsid w:val="31D2634F"/>
    <w:rsid w:val="31D67BED"/>
    <w:rsid w:val="31ED4F37"/>
    <w:rsid w:val="325F5E35"/>
    <w:rsid w:val="3296737C"/>
    <w:rsid w:val="32CC2D9E"/>
    <w:rsid w:val="332C1A8F"/>
    <w:rsid w:val="33380434"/>
    <w:rsid w:val="33525999"/>
    <w:rsid w:val="336E3E55"/>
    <w:rsid w:val="339E298D"/>
    <w:rsid w:val="34655258"/>
    <w:rsid w:val="346A286F"/>
    <w:rsid w:val="34D80120"/>
    <w:rsid w:val="35044A71"/>
    <w:rsid w:val="351F7AFD"/>
    <w:rsid w:val="35956011"/>
    <w:rsid w:val="35EE3784"/>
    <w:rsid w:val="360A60B7"/>
    <w:rsid w:val="361C403D"/>
    <w:rsid w:val="36BB5604"/>
    <w:rsid w:val="36F6488E"/>
    <w:rsid w:val="370A20E7"/>
    <w:rsid w:val="372C02AF"/>
    <w:rsid w:val="378123A9"/>
    <w:rsid w:val="37A20571"/>
    <w:rsid w:val="37C329C2"/>
    <w:rsid w:val="37CB7AC8"/>
    <w:rsid w:val="37D56B99"/>
    <w:rsid w:val="38211DDE"/>
    <w:rsid w:val="38606463"/>
    <w:rsid w:val="387737AC"/>
    <w:rsid w:val="38A82615"/>
    <w:rsid w:val="38DC5D5B"/>
    <w:rsid w:val="391536F1"/>
    <w:rsid w:val="39C46EC5"/>
    <w:rsid w:val="3A7B0231"/>
    <w:rsid w:val="3A971EE4"/>
    <w:rsid w:val="3AAC3BE1"/>
    <w:rsid w:val="3AEF3ACE"/>
    <w:rsid w:val="3B716BD9"/>
    <w:rsid w:val="3BF515B8"/>
    <w:rsid w:val="3C134AD0"/>
    <w:rsid w:val="3C5E715D"/>
    <w:rsid w:val="3C8A61A4"/>
    <w:rsid w:val="3C8F5568"/>
    <w:rsid w:val="3C964B49"/>
    <w:rsid w:val="3C97441D"/>
    <w:rsid w:val="3D0C0967"/>
    <w:rsid w:val="3D4D6240"/>
    <w:rsid w:val="3D633A68"/>
    <w:rsid w:val="3D7F55DD"/>
    <w:rsid w:val="3DCC459A"/>
    <w:rsid w:val="3E8F1850"/>
    <w:rsid w:val="404228F2"/>
    <w:rsid w:val="40E251F4"/>
    <w:rsid w:val="40E57E4D"/>
    <w:rsid w:val="41173D7E"/>
    <w:rsid w:val="41200E85"/>
    <w:rsid w:val="41391F47"/>
    <w:rsid w:val="41546D80"/>
    <w:rsid w:val="41A43864"/>
    <w:rsid w:val="41C55588"/>
    <w:rsid w:val="422C1AAB"/>
    <w:rsid w:val="42607D18"/>
    <w:rsid w:val="429C278D"/>
    <w:rsid w:val="42C65A5C"/>
    <w:rsid w:val="42E3216A"/>
    <w:rsid w:val="42ED5B59"/>
    <w:rsid w:val="43036368"/>
    <w:rsid w:val="4340580E"/>
    <w:rsid w:val="43452E25"/>
    <w:rsid w:val="43C33D49"/>
    <w:rsid w:val="43F6411F"/>
    <w:rsid w:val="441B5933"/>
    <w:rsid w:val="444E3F5B"/>
    <w:rsid w:val="4456696C"/>
    <w:rsid w:val="447B63D2"/>
    <w:rsid w:val="44C71617"/>
    <w:rsid w:val="44D2693A"/>
    <w:rsid w:val="45E32481"/>
    <w:rsid w:val="45E701C3"/>
    <w:rsid w:val="45F34DBA"/>
    <w:rsid w:val="460348D1"/>
    <w:rsid w:val="46326F64"/>
    <w:rsid w:val="465313B5"/>
    <w:rsid w:val="46B61944"/>
    <w:rsid w:val="470B1C8F"/>
    <w:rsid w:val="475C698F"/>
    <w:rsid w:val="47D91D8D"/>
    <w:rsid w:val="47ED75E7"/>
    <w:rsid w:val="484E4529"/>
    <w:rsid w:val="487970CD"/>
    <w:rsid w:val="48831CF9"/>
    <w:rsid w:val="48961A2D"/>
    <w:rsid w:val="48B40105"/>
    <w:rsid w:val="48E7672C"/>
    <w:rsid w:val="49A47ECE"/>
    <w:rsid w:val="49C03205"/>
    <w:rsid w:val="49D62A28"/>
    <w:rsid w:val="49E62540"/>
    <w:rsid w:val="4A1E617D"/>
    <w:rsid w:val="4AC80D07"/>
    <w:rsid w:val="4ADF76BB"/>
    <w:rsid w:val="4B1F21AD"/>
    <w:rsid w:val="4B427C4A"/>
    <w:rsid w:val="4B8D35BB"/>
    <w:rsid w:val="4B920BD1"/>
    <w:rsid w:val="4B977F95"/>
    <w:rsid w:val="4C017B05"/>
    <w:rsid w:val="4C1B2975"/>
    <w:rsid w:val="4C4F0870"/>
    <w:rsid w:val="4CB46925"/>
    <w:rsid w:val="4CFA4C80"/>
    <w:rsid w:val="4D185106"/>
    <w:rsid w:val="4D5D520F"/>
    <w:rsid w:val="4D665E71"/>
    <w:rsid w:val="4D897DB2"/>
    <w:rsid w:val="4D8C301A"/>
    <w:rsid w:val="4E1E499E"/>
    <w:rsid w:val="4E2A50F1"/>
    <w:rsid w:val="4E323FA5"/>
    <w:rsid w:val="4E58172D"/>
    <w:rsid w:val="4E872543"/>
    <w:rsid w:val="4E9C0A59"/>
    <w:rsid w:val="4EF1525F"/>
    <w:rsid w:val="4F0B3174"/>
    <w:rsid w:val="4FFC2ABD"/>
    <w:rsid w:val="50854860"/>
    <w:rsid w:val="50A4015D"/>
    <w:rsid w:val="50D91050"/>
    <w:rsid w:val="51840FBC"/>
    <w:rsid w:val="51B82A14"/>
    <w:rsid w:val="51C21AE4"/>
    <w:rsid w:val="51DC2BA6"/>
    <w:rsid w:val="5248023B"/>
    <w:rsid w:val="52B61649"/>
    <w:rsid w:val="530F48B5"/>
    <w:rsid w:val="5354676C"/>
    <w:rsid w:val="538452A3"/>
    <w:rsid w:val="53937294"/>
    <w:rsid w:val="54D16B80"/>
    <w:rsid w:val="55841D62"/>
    <w:rsid w:val="55B17EA6"/>
    <w:rsid w:val="55F83D27"/>
    <w:rsid w:val="56372AA1"/>
    <w:rsid w:val="56402B43"/>
    <w:rsid w:val="56821842"/>
    <w:rsid w:val="56D025AE"/>
    <w:rsid w:val="574865E8"/>
    <w:rsid w:val="580249E9"/>
    <w:rsid w:val="58773629"/>
    <w:rsid w:val="58922210"/>
    <w:rsid w:val="58D740C7"/>
    <w:rsid w:val="592038AA"/>
    <w:rsid w:val="59BD32BD"/>
    <w:rsid w:val="5A455061"/>
    <w:rsid w:val="5A694668"/>
    <w:rsid w:val="5B3312E5"/>
    <w:rsid w:val="5B37709F"/>
    <w:rsid w:val="5BA509F2"/>
    <w:rsid w:val="5BA83AF9"/>
    <w:rsid w:val="5BAB5397"/>
    <w:rsid w:val="5BEF34D6"/>
    <w:rsid w:val="5BFD6D62"/>
    <w:rsid w:val="5BFE7BBD"/>
    <w:rsid w:val="5C294C3A"/>
    <w:rsid w:val="5C8F26F0"/>
    <w:rsid w:val="5D184CAE"/>
    <w:rsid w:val="5D375134"/>
    <w:rsid w:val="5D7A14C5"/>
    <w:rsid w:val="5DDB01B6"/>
    <w:rsid w:val="5E2022BD"/>
    <w:rsid w:val="5E2356B9"/>
    <w:rsid w:val="5EA45B5F"/>
    <w:rsid w:val="5EE035AA"/>
    <w:rsid w:val="5F13572D"/>
    <w:rsid w:val="5FA10F8B"/>
    <w:rsid w:val="603A74D9"/>
    <w:rsid w:val="60CC028A"/>
    <w:rsid w:val="60DB227B"/>
    <w:rsid w:val="6162474A"/>
    <w:rsid w:val="61903065"/>
    <w:rsid w:val="61FF01EB"/>
    <w:rsid w:val="62145A44"/>
    <w:rsid w:val="623205C0"/>
    <w:rsid w:val="62327559"/>
    <w:rsid w:val="62830E1C"/>
    <w:rsid w:val="62DE6052"/>
    <w:rsid w:val="638547F1"/>
    <w:rsid w:val="638B61DA"/>
    <w:rsid w:val="63AE604C"/>
    <w:rsid w:val="63C33BC6"/>
    <w:rsid w:val="641C32D6"/>
    <w:rsid w:val="64202DC6"/>
    <w:rsid w:val="643E149E"/>
    <w:rsid w:val="64634A61"/>
    <w:rsid w:val="646B1B68"/>
    <w:rsid w:val="64CE2822"/>
    <w:rsid w:val="64FE478A"/>
    <w:rsid w:val="650E70C3"/>
    <w:rsid w:val="651D5558"/>
    <w:rsid w:val="6546685C"/>
    <w:rsid w:val="6557674D"/>
    <w:rsid w:val="656C403D"/>
    <w:rsid w:val="657D1B52"/>
    <w:rsid w:val="65A90B99"/>
    <w:rsid w:val="65AC29BA"/>
    <w:rsid w:val="65F349DE"/>
    <w:rsid w:val="65F84571"/>
    <w:rsid w:val="65FC6F1B"/>
    <w:rsid w:val="660B1854"/>
    <w:rsid w:val="66897B53"/>
    <w:rsid w:val="66A17AC3"/>
    <w:rsid w:val="670B521C"/>
    <w:rsid w:val="670C13E0"/>
    <w:rsid w:val="671D539B"/>
    <w:rsid w:val="672901E4"/>
    <w:rsid w:val="67705E13"/>
    <w:rsid w:val="67B57CC9"/>
    <w:rsid w:val="67D22629"/>
    <w:rsid w:val="67F56318"/>
    <w:rsid w:val="67F73E4D"/>
    <w:rsid w:val="68352BB8"/>
    <w:rsid w:val="684C2C5A"/>
    <w:rsid w:val="684F61D7"/>
    <w:rsid w:val="6873723D"/>
    <w:rsid w:val="68AF64C7"/>
    <w:rsid w:val="68F137AB"/>
    <w:rsid w:val="693D05CF"/>
    <w:rsid w:val="694F7CAA"/>
    <w:rsid w:val="69F85C4B"/>
    <w:rsid w:val="6A4B221F"/>
    <w:rsid w:val="6ADE7537"/>
    <w:rsid w:val="6AF02DC7"/>
    <w:rsid w:val="6B1E7934"/>
    <w:rsid w:val="6BB838E4"/>
    <w:rsid w:val="6BC229B5"/>
    <w:rsid w:val="6C225202"/>
    <w:rsid w:val="6C686C2A"/>
    <w:rsid w:val="6C6D2921"/>
    <w:rsid w:val="6C93452C"/>
    <w:rsid w:val="6CA4030D"/>
    <w:rsid w:val="6CB30FA0"/>
    <w:rsid w:val="6CB542C8"/>
    <w:rsid w:val="6D282CEC"/>
    <w:rsid w:val="6D7970A3"/>
    <w:rsid w:val="6DA63788"/>
    <w:rsid w:val="6DB91B96"/>
    <w:rsid w:val="6E423939"/>
    <w:rsid w:val="6ED24CBD"/>
    <w:rsid w:val="6F101C89"/>
    <w:rsid w:val="6F8A37EA"/>
    <w:rsid w:val="6F8F7052"/>
    <w:rsid w:val="6FC36CFC"/>
    <w:rsid w:val="6FCF38F2"/>
    <w:rsid w:val="6FE0340A"/>
    <w:rsid w:val="700370F8"/>
    <w:rsid w:val="70341692"/>
    <w:rsid w:val="705D4A5A"/>
    <w:rsid w:val="71092E34"/>
    <w:rsid w:val="711E68DF"/>
    <w:rsid w:val="71997D14"/>
    <w:rsid w:val="71B763EC"/>
    <w:rsid w:val="71C70D25"/>
    <w:rsid w:val="72062ED0"/>
    <w:rsid w:val="722C2936"/>
    <w:rsid w:val="72A9667D"/>
    <w:rsid w:val="72FD2105"/>
    <w:rsid w:val="73634A7D"/>
    <w:rsid w:val="73774085"/>
    <w:rsid w:val="73CA68AB"/>
    <w:rsid w:val="73CF3EC1"/>
    <w:rsid w:val="74597C2E"/>
    <w:rsid w:val="748F53FE"/>
    <w:rsid w:val="74B7713A"/>
    <w:rsid w:val="74D13C69"/>
    <w:rsid w:val="75146C43"/>
    <w:rsid w:val="75357D54"/>
    <w:rsid w:val="754B7577"/>
    <w:rsid w:val="759A405B"/>
    <w:rsid w:val="75E8126A"/>
    <w:rsid w:val="76AE24B4"/>
    <w:rsid w:val="76DD06A3"/>
    <w:rsid w:val="76FD2AF3"/>
    <w:rsid w:val="775B5A6C"/>
    <w:rsid w:val="77950F7E"/>
    <w:rsid w:val="779C67B0"/>
    <w:rsid w:val="779D36E9"/>
    <w:rsid w:val="77C47AB5"/>
    <w:rsid w:val="78000AED"/>
    <w:rsid w:val="782A3DBC"/>
    <w:rsid w:val="783C764B"/>
    <w:rsid w:val="784309DA"/>
    <w:rsid w:val="7855070D"/>
    <w:rsid w:val="786D3CA8"/>
    <w:rsid w:val="786F17CF"/>
    <w:rsid w:val="78C2280A"/>
    <w:rsid w:val="78FB7506"/>
    <w:rsid w:val="794E7636"/>
    <w:rsid w:val="79A92AE0"/>
    <w:rsid w:val="79D02741"/>
    <w:rsid w:val="7A067F11"/>
    <w:rsid w:val="7A5A025C"/>
    <w:rsid w:val="7A9B4AFD"/>
    <w:rsid w:val="7AB12572"/>
    <w:rsid w:val="7B000E04"/>
    <w:rsid w:val="7B424F78"/>
    <w:rsid w:val="7B51165F"/>
    <w:rsid w:val="7B580C40"/>
    <w:rsid w:val="7B6A2721"/>
    <w:rsid w:val="7B86755B"/>
    <w:rsid w:val="7B9D6653"/>
    <w:rsid w:val="7BAA66DC"/>
    <w:rsid w:val="7BEE5100"/>
    <w:rsid w:val="7C0E12FE"/>
    <w:rsid w:val="7C120DEF"/>
    <w:rsid w:val="7C127041"/>
    <w:rsid w:val="7C232FFC"/>
    <w:rsid w:val="7C4422BF"/>
    <w:rsid w:val="7C4F1B5E"/>
    <w:rsid w:val="7C701FB9"/>
    <w:rsid w:val="7CF624BE"/>
    <w:rsid w:val="7D1B55A6"/>
    <w:rsid w:val="7D1D3EEF"/>
    <w:rsid w:val="7D23702C"/>
    <w:rsid w:val="7D3B6123"/>
    <w:rsid w:val="7D4E22FA"/>
    <w:rsid w:val="7D612BF7"/>
    <w:rsid w:val="7D67516A"/>
    <w:rsid w:val="7D6A4C5A"/>
    <w:rsid w:val="7D847ACA"/>
    <w:rsid w:val="7D985324"/>
    <w:rsid w:val="7DC223A1"/>
    <w:rsid w:val="7E6D055E"/>
    <w:rsid w:val="7EA146AC"/>
    <w:rsid w:val="7F1E5CFC"/>
    <w:rsid w:val="7F2350C1"/>
    <w:rsid w:val="7F7818B1"/>
    <w:rsid w:val="7F82097A"/>
    <w:rsid w:val="7FC42DF2"/>
    <w:rsid w:val="7FCA19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4"/>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paragraph" w:styleId="3">
    <w:name w:val="heading 3"/>
    <w:basedOn w:val="1"/>
    <w:next w:val="1"/>
    <w:link w:val="18"/>
    <w:autoRedefine/>
    <w:semiHidden/>
    <w:unhideWhenUsed/>
    <w:qFormat/>
    <w:uiPriority w:val="9"/>
    <w:pPr>
      <w:keepNext/>
      <w:keepLines/>
      <w:spacing w:before="260" w:after="260" w:line="416" w:lineRule="auto"/>
      <w:outlineLvl w:val="2"/>
    </w:pPr>
    <w:rPr>
      <w:b/>
      <w:bCs/>
      <w:sz w:val="32"/>
      <w:szCs w:val="32"/>
    </w:rPr>
  </w:style>
  <w:style w:type="character" w:default="1" w:styleId="12">
    <w:name w:val="Default Paragraph Font"/>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Normal Indent"/>
    <w:basedOn w:val="1"/>
    <w:autoRedefine/>
    <w:semiHidden/>
    <w:unhideWhenUsed/>
    <w:qFormat/>
    <w:uiPriority w:val="99"/>
    <w:pPr>
      <w:ind w:firstLine="420" w:firstLineChars="200"/>
    </w:pPr>
  </w:style>
  <w:style w:type="paragraph" w:styleId="5">
    <w:name w:val="Body Text"/>
    <w:basedOn w:val="1"/>
    <w:link w:val="20"/>
    <w:autoRedefine/>
    <w:semiHidden/>
    <w:unhideWhenUsed/>
    <w:qFormat/>
    <w:uiPriority w:val="99"/>
    <w:pPr>
      <w:spacing w:after="120"/>
    </w:pPr>
  </w:style>
  <w:style w:type="paragraph" w:styleId="6">
    <w:name w:val="Body Text Indent"/>
    <w:basedOn w:val="1"/>
    <w:next w:val="4"/>
    <w:link w:val="23"/>
    <w:autoRedefine/>
    <w:qFormat/>
    <w:uiPriority w:val="0"/>
    <w:pPr>
      <w:spacing w:after="120"/>
      <w:ind w:left="420" w:leftChars="200"/>
    </w:pPr>
    <w:rPr>
      <w:rFonts w:ascii="Times New Roman" w:hAnsi="Times New Roman" w:eastAsia="宋体" w:cs="Times New Roman"/>
      <w:szCs w:val="24"/>
    </w:rPr>
  </w:style>
  <w:style w:type="paragraph" w:styleId="7">
    <w:name w:val="footer"/>
    <w:basedOn w:val="1"/>
    <w:link w:val="16"/>
    <w:autoRedefine/>
    <w:unhideWhenUsed/>
    <w:qFormat/>
    <w:uiPriority w:val="99"/>
    <w:pPr>
      <w:tabs>
        <w:tab w:val="center" w:pos="4153"/>
        <w:tab w:val="right" w:pos="8306"/>
      </w:tabs>
      <w:snapToGrid w:val="0"/>
      <w:jc w:val="left"/>
    </w:pPr>
    <w:rPr>
      <w:sz w:val="18"/>
      <w:szCs w:val="18"/>
    </w:rPr>
  </w:style>
  <w:style w:type="paragraph" w:styleId="8">
    <w:name w:val="header"/>
    <w:basedOn w:val="1"/>
    <w:link w:val="15"/>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Body Text 2"/>
    <w:basedOn w:val="1"/>
    <w:link w:val="17"/>
    <w:autoRedefine/>
    <w:qFormat/>
    <w:uiPriority w:val="0"/>
    <w:pPr>
      <w:spacing w:line="360" w:lineRule="auto"/>
    </w:pPr>
    <w:rPr>
      <w:rFonts w:ascii="Times New Roman" w:hAnsi="Times New Roman" w:eastAsia="宋体" w:cs="Times New Roman"/>
      <w:sz w:val="24"/>
      <w:szCs w:val="24"/>
    </w:rPr>
  </w:style>
  <w:style w:type="paragraph" w:styleId="10">
    <w:name w:val="Normal (Web)"/>
    <w:basedOn w:val="1"/>
    <w:autoRedefine/>
    <w:semiHidden/>
    <w:unhideWhenUsed/>
    <w:qFormat/>
    <w:uiPriority w:val="99"/>
    <w:pPr>
      <w:spacing w:before="0" w:beforeAutospacing="1" w:after="0" w:afterAutospacing="1"/>
      <w:ind w:left="0" w:right="0"/>
      <w:jc w:val="left"/>
    </w:pPr>
    <w:rPr>
      <w:kern w:val="0"/>
      <w:sz w:val="24"/>
      <w:lang w:val="en-US" w:eastAsia="zh-CN" w:bidi="ar"/>
    </w:rPr>
  </w:style>
  <w:style w:type="character" w:styleId="13">
    <w:name w:val="Hyperlink"/>
    <w:basedOn w:val="12"/>
    <w:autoRedefine/>
    <w:semiHidden/>
    <w:unhideWhenUsed/>
    <w:qFormat/>
    <w:uiPriority w:val="99"/>
    <w:rPr>
      <w:color w:val="0000FF"/>
      <w:u w:val="single"/>
    </w:rPr>
  </w:style>
  <w:style w:type="character" w:customStyle="1" w:styleId="14">
    <w:name w:val="标题 2 Char"/>
    <w:basedOn w:val="12"/>
    <w:link w:val="2"/>
    <w:autoRedefine/>
    <w:qFormat/>
    <w:uiPriority w:val="9"/>
    <w:rPr>
      <w:rFonts w:ascii="宋体" w:hAnsi="宋体" w:eastAsia="宋体" w:cs="宋体"/>
      <w:b/>
      <w:bCs/>
      <w:kern w:val="0"/>
      <w:sz w:val="36"/>
      <w:szCs w:val="36"/>
    </w:rPr>
  </w:style>
  <w:style w:type="character" w:customStyle="1" w:styleId="15">
    <w:name w:val="页眉 Char"/>
    <w:basedOn w:val="12"/>
    <w:link w:val="8"/>
    <w:autoRedefine/>
    <w:qFormat/>
    <w:uiPriority w:val="99"/>
    <w:rPr>
      <w:sz w:val="18"/>
      <w:szCs w:val="18"/>
    </w:rPr>
  </w:style>
  <w:style w:type="character" w:customStyle="1" w:styleId="16">
    <w:name w:val="页脚 Char"/>
    <w:basedOn w:val="12"/>
    <w:link w:val="7"/>
    <w:autoRedefine/>
    <w:qFormat/>
    <w:uiPriority w:val="99"/>
    <w:rPr>
      <w:sz w:val="18"/>
      <w:szCs w:val="18"/>
    </w:rPr>
  </w:style>
  <w:style w:type="character" w:customStyle="1" w:styleId="17">
    <w:name w:val="正文文本 2 Char"/>
    <w:basedOn w:val="12"/>
    <w:link w:val="9"/>
    <w:autoRedefine/>
    <w:qFormat/>
    <w:uiPriority w:val="0"/>
    <w:rPr>
      <w:rFonts w:ascii="Times New Roman" w:hAnsi="Times New Roman" w:eastAsia="宋体" w:cs="Times New Roman"/>
      <w:sz w:val="24"/>
      <w:szCs w:val="24"/>
    </w:rPr>
  </w:style>
  <w:style w:type="character" w:customStyle="1" w:styleId="18">
    <w:name w:val="标题 3 Char"/>
    <w:basedOn w:val="12"/>
    <w:link w:val="3"/>
    <w:autoRedefine/>
    <w:semiHidden/>
    <w:qFormat/>
    <w:uiPriority w:val="9"/>
    <w:rPr>
      <w:b/>
      <w:bCs/>
      <w:sz w:val="32"/>
      <w:szCs w:val="32"/>
    </w:rPr>
  </w:style>
  <w:style w:type="paragraph" w:styleId="19">
    <w:name w:val="List Paragraph"/>
    <w:basedOn w:val="1"/>
    <w:autoRedefine/>
    <w:qFormat/>
    <w:uiPriority w:val="1"/>
    <w:pPr>
      <w:ind w:firstLine="420" w:firstLineChars="200"/>
    </w:pPr>
  </w:style>
  <w:style w:type="character" w:customStyle="1" w:styleId="20">
    <w:name w:val="正文文本 Char"/>
    <w:basedOn w:val="12"/>
    <w:link w:val="5"/>
    <w:autoRedefine/>
    <w:semiHidden/>
    <w:qFormat/>
    <w:uiPriority w:val="99"/>
  </w:style>
  <w:style w:type="table" w:customStyle="1" w:styleId="21">
    <w:name w:val="Table Normal"/>
    <w:autoRedefine/>
    <w:semiHidden/>
    <w:unhideWhenUsed/>
    <w:qFormat/>
    <w:uiPriority w:val="2"/>
    <w:pPr>
      <w:widowControl w:val="0"/>
      <w:autoSpaceDE w:val="0"/>
      <w:autoSpaceDN w:val="0"/>
    </w:pPr>
    <w:rPr>
      <w:kern w:val="0"/>
      <w:sz w:val="22"/>
      <w:lang w:eastAsia="en-US"/>
    </w:rPr>
    <w:tblPr>
      <w:tblCellMar>
        <w:top w:w="0" w:type="dxa"/>
        <w:left w:w="0" w:type="dxa"/>
        <w:bottom w:w="0" w:type="dxa"/>
        <w:right w:w="0" w:type="dxa"/>
      </w:tblCellMar>
    </w:tblPr>
  </w:style>
  <w:style w:type="paragraph" w:customStyle="1" w:styleId="22">
    <w:name w:val="Table Paragraph"/>
    <w:basedOn w:val="1"/>
    <w:autoRedefine/>
    <w:qFormat/>
    <w:uiPriority w:val="1"/>
    <w:pPr>
      <w:autoSpaceDE w:val="0"/>
      <w:autoSpaceDN w:val="0"/>
      <w:jc w:val="left"/>
    </w:pPr>
    <w:rPr>
      <w:rFonts w:ascii="Noto Sans Mono CJK JP Bold" w:hAnsi="Noto Sans Mono CJK JP Bold" w:eastAsia="Noto Sans Mono CJK JP Bold" w:cs="Noto Sans Mono CJK JP Bold"/>
      <w:kern w:val="0"/>
      <w:sz w:val="22"/>
    </w:rPr>
  </w:style>
  <w:style w:type="character" w:customStyle="1" w:styleId="23">
    <w:name w:val="正文文本缩进 Char"/>
    <w:basedOn w:val="12"/>
    <w:link w:val="6"/>
    <w:autoRedefine/>
    <w:qFormat/>
    <w:uiPriority w:val="0"/>
    <w:rPr>
      <w:rFonts w:ascii="Times New Roman" w:hAnsi="Times New Roman" w:eastAsia="宋体" w:cs="Times New Roman"/>
      <w:szCs w:val="24"/>
    </w:rPr>
  </w:style>
  <w:style w:type="character" w:customStyle="1" w:styleId="24">
    <w:name w:val="NormalCharacter"/>
    <w:link w:val="25"/>
    <w:autoRedefine/>
    <w:qFormat/>
    <w:uiPriority w:val="0"/>
    <w:rPr>
      <w:rFonts w:ascii="Tahoma" w:hAnsi="Tahoma"/>
      <w:sz w:val="24"/>
      <w:szCs w:val="20"/>
    </w:rPr>
  </w:style>
  <w:style w:type="paragraph" w:customStyle="1" w:styleId="25">
    <w:name w:val="UserStyle_85"/>
    <w:basedOn w:val="1"/>
    <w:link w:val="24"/>
    <w:autoRedefine/>
    <w:qFormat/>
    <w:uiPriority w:val="0"/>
    <w:rPr>
      <w:rFonts w:ascii="Tahoma" w:hAnsi="Tahoma"/>
      <w:sz w:val="24"/>
      <w:szCs w:val="20"/>
    </w:rPr>
  </w:style>
  <w:style w:type="paragraph" w:customStyle="1" w:styleId="26">
    <w:name w:val="无间隔1"/>
    <w:autoRedefine/>
    <w:qFormat/>
    <w:uiPriority w:val="99"/>
    <w:pPr>
      <w:adjustRightInd w:val="0"/>
      <w:snapToGrid w:val="0"/>
    </w:pPr>
    <w:rPr>
      <w:rFonts w:ascii="Tahoma" w:hAnsi="Tahoma" w:eastAsia="微软雅黑" w:cs="Times New Roman"/>
      <w:kern w:val="0"/>
      <w:sz w:val="22"/>
      <w:szCs w:val="22"/>
      <w:lang w:val="en-US" w:eastAsia="zh-CN" w:bidi="ar-SA"/>
    </w:rPr>
  </w:style>
  <w:style w:type="paragraph" w:customStyle="1" w:styleId="27">
    <w:name w:val="无间隔11"/>
    <w:autoRedefine/>
    <w:qFormat/>
    <w:uiPriority w:val="1"/>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2012dnd.com</Company>
  <Pages>6</Pages>
  <Words>3696</Words>
  <Characters>3942</Characters>
  <Lines>24</Lines>
  <Paragraphs>6</Paragraphs>
  <TotalTime>55</TotalTime>
  <ScaleCrop>false</ScaleCrop>
  <LinksUpToDate>false</LinksUpToDate>
  <CharactersWithSpaces>3970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2023-02-19T07:22:00Z</dcterms:created>
  <dc:creator>Administrator</dc:creator>
  <cp:lastModifiedBy>城市日记</cp:lastModifiedBy>
  <cp:lastPrinted>2023-02-24T07:32:00Z</cp:lastPrinted>
  <dcterms:modified xsi:type="dcterms:W3CDTF">2025-06-10T06:41:18Z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E65812BC07D44CE288D2A0EC418A82AB_13</vt:lpwstr>
  </property>
  <property fmtid="{D5CDD505-2E9C-101B-9397-08002B2CF9AE}" pid="4" name="KSOTemplateDocerSaveRecord">
    <vt:lpwstr>eyJoZGlkIjoiZmUwZjA3ZmI1MzdjNDcxY2I4Yjk3OWUzNDdlYjk0OGMiLCJ1c2VySWQiOiIzMjAyOTg3ODEifQ==</vt:lpwstr>
  </property>
</Properties>
</file>