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01FE6">
      <w:pPr>
        <w:spacing w:line="360" w:lineRule="auto"/>
        <w:rPr>
          <w:rFonts w:asciiTheme="minorEastAsia" w:hAnsiTheme="minorEastAsia"/>
          <w:b/>
          <w:color w:val="auto"/>
          <w:sz w:val="28"/>
          <w:szCs w:val="28"/>
        </w:rPr>
      </w:pPr>
      <w:r>
        <w:rPr>
          <w:rFonts w:hint="eastAsia" w:asciiTheme="minorEastAsia" w:hAnsiTheme="minorEastAsia"/>
          <w:b/>
          <w:color w:val="auto"/>
          <w:sz w:val="28"/>
          <w:szCs w:val="28"/>
        </w:rPr>
        <w:t>附件一：抖音达人项目招标标准及要求</w:t>
      </w:r>
    </w:p>
    <w:p w14:paraId="11D512A3">
      <w:pPr>
        <w:pStyle w:val="8"/>
        <w:numPr>
          <w:ilvl w:val="0"/>
          <w:numId w:val="0"/>
        </w:numPr>
        <w:spacing w:line="360" w:lineRule="auto"/>
        <w:ind w:left="420" w:leftChars="0" w:hanging="420" w:firstLineChars="0"/>
        <w:rPr>
          <w:rFonts w:asciiTheme="minorEastAsia" w:hAnsiTheme="minorEastAsia"/>
          <w:b/>
          <w:color w:val="auto"/>
          <w:sz w:val="28"/>
          <w:szCs w:val="28"/>
        </w:rPr>
      </w:pPr>
      <w:r>
        <w:rPr>
          <w:rFonts w:asciiTheme="minorEastAsia" w:hAnsiTheme="minorEastAsia" w:eastAsiaTheme="minorEastAsia" w:cstheme="minorBidi"/>
          <w:b/>
          <w:color w:val="auto"/>
          <w:kern w:val="2"/>
          <w:sz w:val="28"/>
          <w:szCs w:val="28"/>
          <w:lang w:val="en-US" w:eastAsia="zh-CN" w:bidi="ar-SA"/>
        </w:rPr>
        <w:t>一、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 xml:space="preserve">项目基本概况介绍 </w:t>
      </w:r>
    </w:p>
    <w:p w14:paraId="1EC0FB17">
      <w:pPr>
        <w:spacing w:line="360" w:lineRule="auto"/>
        <w:ind w:firstLine="482" w:firstLineChars="201"/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8"/>
        </w:rPr>
        <w:t>重庆冠达世纪游轮有限公司现需通过抖音平台进行“世纪游轮”品牌及产品宣传推广，以吸引更多游客关注品牌</w:t>
      </w:r>
      <w:r>
        <w:rPr>
          <w:rFonts w:hint="eastAsia" w:asciiTheme="minorEastAsia" w:hAnsiTheme="minorEastAsia"/>
          <w:color w:val="auto"/>
          <w:sz w:val="24"/>
          <w:szCs w:val="28"/>
          <w:lang w:eastAsia="zh-CN"/>
        </w:rPr>
        <w:t>、购买</w:t>
      </w:r>
      <w:r>
        <w:rPr>
          <w:rFonts w:hint="eastAsia" w:asciiTheme="minorEastAsia" w:hAnsiTheme="minorEastAsia"/>
          <w:color w:val="auto"/>
          <w:sz w:val="24"/>
          <w:szCs w:val="28"/>
        </w:rPr>
        <w:t>体验游轮旅行产品。</w:t>
      </w:r>
      <w:r>
        <w:rPr>
          <w:rFonts w:hint="eastAsia" w:asciiTheme="minorEastAsia" w:hAnsiTheme="minorEastAsia"/>
          <w:color w:val="auto"/>
          <w:sz w:val="24"/>
          <w:szCs w:val="24"/>
          <w:lang w:eastAsia="zh-CN"/>
        </w:rPr>
        <w:t>本项目招标的资源，重点覆盖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暑期亲子季</w:t>
      </w:r>
      <w:r>
        <w:rPr>
          <w:rFonts w:hint="eastAsia" w:asciiTheme="minorEastAsia" w:hAnsiTheme="minorEastAsia"/>
          <w:b w:val="0"/>
          <w:bCs w:val="0"/>
          <w:color w:val="auto"/>
          <w:sz w:val="24"/>
          <w:szCs w:val="24"/>
          <w:lang w:val="en-US" w:eastAsia="zh-CN"/>
        </w:rPr>
        <w:t>主题活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动，结合</w:t>
      </w:r>
      <w:r>
        <w:rPr>
          <w:rFonts w:hint="eastAsia" w:asciiTheme="minorEastAsia" w:hAnsiTheme="minorEastAsia"/>
          <w:b/>
          <w:bCs/>
          <w:color w:val="1D41D5"/>
          <w:sz w:val="24"/>
          <w:szCs w:val="24"/>
          <w:lang w:val="en-US" w:eastAsia="zh-CN"/>
        </w:rPr>
        <w:t>中国国家地理宣传资源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共创宣发，持续扩大品牌声量。</w:t>
      </w:r>
    </w:p>
    <w:p w14:paraId="70F21E04">
      <w:pPr>
        <w:spacing w:line="360" w:lineRule="auto"/>
        <w:ind w:firstLine="482" w:firstLineChars="201"/>
        <w:rPr>
          <w:rFonts w:asciiTheme="minorEastAsia" w:hAnsiTheme="minorEastAsia"/>
          <w:color w:val="auto"/>
          <w:sz w:val="24"/>
          <w:szCs w:val="28"/>
        </w:rPr>
      </w:pPr>
    </w:p>
    <w:p w14:paraId="78B8C1AB">
      <w:pPr>
        <w:pStyle w:val="8"/>
        <w:numPr>
          <w:ilvl w:val="0"/>
          <w:numId w:val="0"/>
        </w:numPr>
        <w:spacing w:line="360" w:lineRule="auto"/>
        <w:ind w:left="420" w:leftChars="0" w:hanging="420" w:firstLineChars="0"/>
        <w:rPr>
          <w:rFonts w:asciiTheme="minorEastAsia" w:hAnsiTheme="minorEastAsia"/>
          <w:b/>
          <w:color w:val="auto"/>
          <w:sz w:val="28"/>
          <w:szCs w:val="28"/>
        </w:rPr>
      </w:pPr>
      <w:r>
        <w:rPr>
          <w:rFonts w:asciiTheme="minorEastAsia" w:hAnsiTheme="minorEastAsia" w:eastAsiaTheme="minorEastAsia" w:cstheme="minorBidi"/>
          <w:b/>
          <w:color w:val="auto"/>
          <w:kern w:val="2"/>
          <w:sz w:val="28"/>
          <w:szCs w:val="28"/>
          <w:lang w:val="en-US" w:eastAsia="zh-CN" w:bidi="ar-SA"/>
        </w:rPr>
        <w:t>二、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 xml:space="preserve">项目主要服务内容及要求 </w:t>
      </w:r>
    </w:p>
    <w:p w14:paraId="42FF4097">
      <w:pPr>
        <w:pStyle w:val="8"/>
        <w:numPr>
          <w:ilvl w:val="0"/>
          <w:numId w:val="1"/>
        </w:numPr>
        <w:spacing w:line="360" w:lineRule="auto"/>
        <w:ind w:left="900" w:leftChars="0" w:hanging="420" w:firstLineChars="0"/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eastAsia="zh-Hans"/>
        </w:rPr>
      </w:pP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达人配合需求：</w:t>
      </w:r>
    </w:p>
    <w:p w14:paraId="3DB07636">
      <w:pPr>
        <w:pStyle w:val="8"/>
        <w:numPr>
          <w:ilvl w:val="0"/>
          <w:numId w:val="0"/>
        </w:numPr>
        <w:spacing w:line="360" w:lineRule="auto"/>
        <w:ind w:left="479" w:leftChars="228" w:firstLine="0" w:firstLineChars="0"/>
        <w:rPr>
          <w:rFonts w:hint="default" w:cs="Kaiti SC Regular" w:asciiTheme="minorEastAsia" w:hAnsiTheme="minorEastAsia"/>
          <w:color w:val="auto"/>
          <w:sz w:val="24"/>
          <w:szCs w:val="24"/>
          <w:lang w:val="en-US" w:eastAsia="zh-CN"/>
        </w:rPr>
      </w:pP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重点要求多真人出镜，出镜人表现力佳，人感强；有个人特色及创作能力的达人优先；</w:t>
      </w: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需配合我司工作人员拍摄官方使用素材。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要求细则：</w:t>
      </w:r>
    </w:p>
    <w:p w14:paraId="2EF3FFAB">
      <w:pPr>
        <w:pStyle w:val="8"/>
        <w:numPr>
          <w:ilvl w:val="0"/>
          <w:numId w:val="2"/>
        </w:numPr>
        <w:spacing w:line="360" w:lineRule="auto"/>
        <w:ind w:left="1260" w:leftChars="0" w:hanging="420" w:firstLineChars="0"/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</w:pP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配合官方发布需求，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拍摄或提供形象素材。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包括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：为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每次活动提供达人形象照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，用于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海报宣传宣发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；达人出镜的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视频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素材，用于官方二创发布，并在抖音宣发过程中，与官方紧密互动（互关、转、赞、评）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等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；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特殊重大活动时，配合客户的临时需求，如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制作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30s左右的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预热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发声视频，提供个人高清照片用于世纪游轮品牌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宣传；</w:t>
      </w:r>
    </w:p>
    <w:p w14:paraId="56876B07">
      <w:pPr>
        <w:pStyle w:val="8"/>
        <w:numPr>
          <w:ilvl w:val="0"/>
          <w:numId w:val="2"/>
        </w:numPr>
        <w:spacing w:line="360" w:lineRule="auto"/>
        <w:ind w:left="1260" w:leftChars="0" w:hanging="420" w:firstLineChars="0"/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</w:pP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除开脚本拍摄的素材外，拍摄时需要配合世纪游轮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官方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需求，拍摄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本人出镜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的视频（正脸，背影，手部等特写），供世纪游轮官号使用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。</w:t>
      </w:r>
    </w:p>
    <w:p w14:paraId="7F07502A">
      <w:pPr>
        <w:pStyle w:val="8"/>
        <w:numPr>
          <w:ilvl w:val="0"/>
          <w:numId w:val="1"/>
        </w:numPr>
        <w:spacing w:line="360" w:lineRule="auto"/>
        <w:ind w:left="900" w:leftChars="0" w:hanging="420" w:firstLineChars="0"/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eastAsia="zh-Hans"/>
        </w:rPr>
      </w:pP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eastAsia="zh-CN"/>
        </w:rPr>
        <w:t>达人数量分布：</w:t>
      </w:r>
    </w:p>
    <w:p w14:paraId="44A9C5BE">
      <w:pPr>
        <w:pStyle w:val="8"/>
        <w:numPr>
          <w:ilvl w:val="0"/>
          <w:numId w:val="0"/>
        </w:numPr>
        <w:spacing w:line="360" w:lineRule="auto"/>
        <w:ind w:left="840" w:leftChars="400" w:firstLine="0" w:firstLineChars="0"/>
        <w:rPr>
          <w:rFonts w:hint="default" w:cs="Kaiti SC Regular" w:asciiTheme="minorEastAsia" w:hAnsiTheme="minorEastAsia"/>
          <w:color w:val="auto"/>
          <w:sz w:val="24"/>
          <w:szCs w:val="24"/>
          <w:lang w:val="en-US" w:eastAsia="zh-Hans"/>
        </w:rPr>
      </w:pP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按照优质KOL（200~300w粉以上）、KOL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（</w:t>
      </w:r>
      <w:r>
        <w:rPr>
          <w:rFonts w:hint="eastAsia" w:cs="Kaiti SC Regular" w:asciiTheme="minorEastAsia" w:hAnsiTheme="minorEastAsia"/>
          <w:color w:val="auto"/>
          <w:sz w:val="24"/>
          <w:szCs w:val="24"/>
        </w:rPr>
        <w:t>100w粉以上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）、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KOL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（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4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0w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~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100w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粉）、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KOL（10~40w粉）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、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KOC（云剪分发）的排列标准，</w:t>
      </w: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结合自有达人库名单规划每个标准区间的达人数量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；</w:t>
      </w:r>
    </w:p>
    <w:p w14:paraId="60F3A95D">
      <w:pPr>
        <w:pStyle w:val="8"/>
        <w:numPr>
          <w:ilvl w:val="0"/>
          <w:numId w:val="1"/>
        </w:numPr>
        <w:spacing w:line="360" w:lineRule="auto"/>
        <w:ind w:left="900" w:leftChars="0" w:hanging="420" w:firstLineChars="0"/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</w:pP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达人</w:t>
      </w: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Hans"/>
        </w:rPr>
        <w:t>地域分布</w:t>
      </w: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：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优选归属地为</w:t>
      </w:r>
      <w:r>
        <w:rPr>
          <w:rStyle w:val="9"/>
          <w:rFonts w:hint="eastAsia" w:eastAsia="宋体" w:cs="宋体" w:asciiTheme="minorEastAsia" w:hAnsiTheme="minorEastAsia"/>
          <w:color w:val="0000FF"/>
          <w:lang w:val="en-US" w:eastAsia="zh-CN"/>
        </w:rPr>
        <w:t>重庆、成都、湖北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的达人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（</w:t>
      </w: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其他符合我司抖音消费人群画像的地域也可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，见附件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）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。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达人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游轮打卡，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预计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时间在2-4小时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；打卡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地点：重庆朝天门11码头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或宜昌茅坪码头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；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达人跟船体验，线路主要为“重庆↔宜昌”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三峡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经典航线，行程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时间4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~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5天，登船/下船地点：重庆朝天门11码头/宜昌秭归港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；</w:t>
      </w:r>
    </w:p>
    <w:p w14:paraId="21672AA9">
      <w:pPr>
        <w:pStyle w:val="8"/>
        <w:numPr>
          <w:ilvl w:val="0"/>
          <w:numId w:val="1"/>
        </w:numPr>
        <w:spacing w:line="360" w:lineRule="auto"/>
        <w:ind w:left="900" w:leftChars="0" w:hanging="420" w:firstLineChars="0"/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</w:pP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eastAsia="zh-Hans"/>
        </w:rPr>
        <w:t>分发平台</w:t>
      </w: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eastAsia="zh-CN"/>
        </w:rPr>
        <w:t>：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要求KOL达人同步内容分发至携程平台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、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小红书平台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Hans"/>
        </w:rPr>
        <w:t>并带世纪游轮商品链接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eastAsia="zh-CN"/>
        </w:rPr>
        <w:t>；</w:t>
      </w:r>
    </w:p>
    <w:p w14:paraId="48D36702">
      <w:pPr>
        <w:pStyle w:val="8"/>
        <w:numPr>
          <w:ilvl w:val="0"/>
          <w:numId w:val="1"/>
        </w:numPr>
        <w:spacing w:line="360" w:lineRule="auto"/>
        <w:ind w:left="900" w:leftChars="0" w:hanging="420" w:firstLineChars="0"/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</w:pP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Hans"/>
        </w:rPr>
        <w:t>达人标签</w:t>
      </w: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：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以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【</w:t>
      </w: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Hans"/>
        </w:rPr>
        <w:t>亲子</w:t>
      </w: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家庭</w:t>
      </w: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Hans"/>
        </w:rPr>
        <w:t>类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】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优质达人为主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，其次是</w:t>
      </w: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【外国人出镜】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旅游类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，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摄影摄像类、颜值类等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；</w:t>
      </w:r>
    </w:p>
    <w:p w14:paraId="521A9542">
      <w:pPr>
        <w:pStyle w:val="8"/>
        <w:numPr>
          <w:ilvl w:val="0"/>
          <w:numId w:val="1"/>
        </w:numPr>
        <w:spacing w:line="360" w:lineRule="auto"/>
        <w:ind w:left="900" w:leftChars="0" w:hanging="420" w:firstLineChars="0"/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</w:pP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Hans"/>
        </w:rPr>
        <w:t>质量要求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：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垂直领域，真人出镜，出片质量高，适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配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游轮旅行风格，有个人创意优先选择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；</w:t>
      </w:r>
    </w:p>
    <w:p w14:paraId="61791768">
      <w:pPr>
        <w:pStyle w:val="8"/>
        <w:numPr>
          <w:ilvl w:val="0"/>
          <w:numId w:val="1"/>
        </w:numPr>
        <w:spacing w:line="360" w:lineRule="auto"/>
        <w:ind w:left="900" w:leftChars="0" w:hanging="420" w:firstLineChars="0"/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</w:pP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其他：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视频发布地址定位为世纪游轮，视频文案必须@世纪游轮官方蓝V号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CN"/>
        </w:rPr>
        <w:t>，带指定话题，</w:t>
      </w:r>
      <w:r>
        <w:rPr>
          <w:rFonts w:hint="eastAsia" w:cs="Kaiti SC Regular" w:asciiTheme="minorEastAsia" w:hAnsiTheme="minorEastAsia"/>
          <w:color w:val="auto"/>
          <w:sz w:val="24"/>
          <w:szCs w:val="24"/>
          <w:lang w:val="en-US" w:eastAsia="zh-Hans"/>
        </w:rPr>
        <w:t>视频发布后一年内不得删除。</w:t>
      </w:r>
    </w:p>
    <w:p w14:paraId="7AB36F7C">
      <w:pPr>
        <w:pStyle w:val="8"/>
        <w:numPr>
          <w:ilvl w:val="0"/>
          <w:numId w:val="1"/>
        </w:numPr>
        <w:spacing w:line="360" w:lineRule="auto"/>
        <w:ind w:left="900" w:leftChars="0" w:hanging="420" w:firstLineChars="0"/>
        <w:rPr>
          <w:rFonts w:hint="eastAsia" w:cs="Kaiti SC Bold" w:asciiTheme="minorEastAsia" w:hAnsiTheme="minorEastAsia"/>
          <w:b/>
          <w:bCs w:val="0"/>
          <w:color w:val="auto"/>
          <w:sz w:val="24"/>
          <w:szCs w:val="24"/>
          <w:lang w:eastAsia="zh-CN"/>
        </w:rPr>
      </w:pP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投流规划：</w:t>
      </w:r>
      <w:r>
        <w:rPr>
          <w:rFonts w:hint="eastAsia" w:cs="Kaiti SC Regular" w:asciiTheme="minorEastAsia" w:hAnsiTheme="minorEastAsia"/>
          <w:b/>
          <w:bCs/>
          <w:color w:val="auto"/>
          <w:sz w:val="24"/>
          <w:szCs w:val="24"/>
          <w:lang w:val="en-US" w:eastAsia="zh-CN"/>
        </w:rPr>
        <w:t>进行推广视频投流前需将投流计划和方向提报甲方确认，方可执行。</w:t>
      </w:r>
    </w:p>
    <w:p w14:paraId="006A2781">
      <w:pPr>
        <w:pStyle w:val="8"/>
        <w:numPr>
          <w:ilvl w:val="0"/>
          <w:numId w:val="1"/>
        </w:numPr>
        <w:spacing w:line="360" w:lineRule="auto"/>
        <w:ind w:left="900" w:leftChars="0" w:hanging="420" w:firstLineChars="0"/>
        <w:rPr>
          <w:rFonts w:hint="eastAsia" w:cs="Kaiti SC Bold" w:asciiTheme="minorEastAsia" w:hAnsiTheme="minorEastAsia"/>
          <w:b/>
          <w:bCs w:val="0"/>
          <w:color w:val="auto"/>
          <w:sz w:val="24"/>
          <w:szCs w:val="24"/>
          <w:lang w:eastAsia="zh-CN"/>
        </w:rPr>
      </w:pPr>
      <w:r>
        <w:rPr>
          <w:rFonts w:hint="eastAsia" w:cs="Kaiti SC Bold" w:asciiTheme="minorEastAsia" w:hAnsiTheme="minorEastAsia"/>
          <w:b/>
          <w:bCs w:val="0"/>
          <w:color w:val="auto"/>
          <w:sz w:val="24"/>
          <w:szCs w:val="24"/>
          <w:lang w:val="en-US" w:eastAsia="zh-CN"/>
        </w:rPr>
        <w:t>达人数量要求和</w:t>
      </w:r>
      <w:r>
        <w:rPr>
          <w:rFonts w:hint="eastAsia" w:cs="Kaiti SC Bold" w:asciiTheme="minorEastAsia" w:hAnsiTheme="minorEastAsia"/>
          <w:b/>
          <w:bCs w:val="0"/>
          <w:color w:val="auto"/>
          <w:sz w:val="24"/>
          <w:szCs w:val="24"/>
          <w:lang w:eastAsia="zh-CN"/>
        </w:rPr>
        <w:t>传播目标：</w:t>
      </w:r>
    </w:p>
    <w:p w14:paraId="4E6F50DD">
      <w:pPr>
        <w:numPr>
          <w:ilvl w:val="0"/>
          <w:numId w:val="0"/>
        </w:numPr>
        <w:spacing w:line="360" w:lineRule="auto"/>
        <w:ind w:left="480" w:leftChars="0" w:firstLine="361" w:firstLineChars="150"/>
        <w:rPr>
          <w:rFonts w:hint="eastAsia" w:cs="Kaiti SC Bold" w:asciiTheme="minorEastAsia" w:hAnsiTheme="minorEastAsia"/>
          <w:b/>
          <w:bCs w:val="0"/>
          <w:color w:val="0000FF"/>
          <w:sz w:val="24"/>
          <w:szCs w:val="24"/>
          <w:lang w:eastAsia="zh-CN"/>
        </w:rPr>
      </w:pPr>
      <w:r>
        <w:rPr>
          <w:rFonts w:hint="eastAsia" w:cs="Kaiti SC Bold" w:asciiTheme="minorEastAsia" w:hAnsiTheme="minorEastAsia"/>
          <w:b/>
          <w:bCs w:val="0"/>
          <w:color w:val="1D41D5"/>
          <w:sz w:val="24"/>
          <w:szCs w:val="24"/>
          <w:lang w:val="en-US" w:eastAsia="zh-CN"/>
        </w:rPr>
        <w:t>达人等级及数量分配（KOL、KOC）、曝光目标</w:t>
      </w:r>
      <w:r>
        <w:rPr>
          <w:rFonts w:hint="eastAsia" w:cs="Kaiti SC Bold" w:asciiTheme="minorEastAsia" w:hAnsiTheme="minorEastAsia"/>
          <w:b w:val="0"/>
          <w:bCs/>
          <w:color w:val="1D41D5"/>
          <w:sz w:val="24"/>
          <w:szCs w:val="24"/>
          <w:lang w:val="en-US" w:eastAsia="zh-CN"/>
        </w:rPr>
        <w:t>均由供应商自行提报，但</w:t>
      </w:r>
      <w:r>
        <w:rPr>
          <w:rFonts w:hint="eastAsia" w:cs="Kaiti SC Bold" w:asciiTheme="minorEastAsia" w:hAnsiTheme="minorEastAsia"/>
          <w:b/>
          <w:bCs w:val="0"/>
          <w:color w:val="FF0000"/>
          <w:sz w:val="24"/>
          <w:szCs w:val="24"/>
          <w:lang w:val="en-US" w:eastAsia="zh-CN"/>
        </w:rPr>
        <w:t>所有达人必须走星图平台进行采购</w:t>
      </w:r>
      <w:r>
        <w:rPr>
          <w:rFonts w:hint="eastAsia" w:cs="Kaiti SC Bold" w:asciiTheme="minorEastAsia" w:hAnsiTheme="minorEastAsia"/>
          <w:b w:val="0"/>
          <w:bCs/>
          <w:color w:val="1D41D5"/>
          <w:sz w:val="24"/>
          <w:szCs w:val="24"/>
          <w:lang w:val="en-US" w:eastAsia="zh-CN"/>
        </w:rPr>
        <w:t>，作为重要评估指标。</w:t>
      </w:r>
    </w:p>
    <w:p w14:paraId="28C50FBE">
      <w:pPr>
        <w:numPr>
          <w:ilvl w:val="0"/>
          <w:numId w:val="0"/>
        </w:numPr>
        <w:spacing w:line="360" w:lineRule="auto"/>
        <w:rPr>
          <w:rFonts w:hint="default" w:cs="Kaiti SC Bold" w:asciiTheme="minorEastAsia" w:hAnsiTheme="minorEastAsia"/>
          <w:b w:val="0"/>
          <w:bCs/>
          <w:color w:val="1D41D5"/>
          <w:sz w:val="24"/>
          <w:szCs w:val="24"/>
          <w:lang w:val="en-US" w:eastAsia="zh-CN"/>
        </w:rPr>
      </w:pPr>
    </w:p>
    <w:p w14:paraId="04D3C3F7">
      <w:pPr>
        <w:pStyle w:val="8"/>
        <w:numPr>
          <w:ilvl w:val="0"/>
          <w:numId w:val="0"/>
        </w:numPr>
        <w:spacing w:line="360" w:lineRule="auto"/>
        <w:ind w:left="420" w:leftChars="0" w:hanging="420" w:firstLineChars="0"/>
        <w:rPr>
          <w:rFonts w:asciiTheme="minorEastAsia" w:hAnsiTheme="minorEastAsia"/>
          <w:b/>
          <w:bCs w:val="0"/>
          <w:color w:val="auto"/>
          <w:sz w:val="28"/>
          <w:szCs w:val="28"/>
        </w:rPr>
      </w:pPr>
      <w:r>
        <w:rPr>
          <w:rFonts w:asciiTheme="minorEastAsia" w:hAnsiTheme="minorEastAsia" w:eastAsiaTheme="minorEastAsia" w:cstheme="minorBidi"/>
          <w:b/>
          <w:bCs w:val="0"/>
          <w:color w:val="auto"/>
          <w:kern w:val="2"/>
          <w:sz w:val="28"/>
          <w:szCs w:val="28"/>
          <w:lang w:val="en-US" w:eastAsia="zh-CN" w:bidi="ar-SA"/>
        </w:rPr>
        <w:t>三、</w:t>
      </w:r>
      <w:r>
        <w:rPr>
          <w:rFonts w:hint="eastAsia" w:asciiTheme="minorEastAsia" w:hAnsiTheme="minorEastAsia"/>
          <w:b/>
          <w:bCs w:val="0"/>
          <w:color w:val="auto"/>
          <w:sz w:val="28"/>
          <w:szCs w:val="28"/>
        </w:rPr>
        <w:t>项目预算及付款方式</w:t>
      </w:r>
      <w:bookmarkStart w:id="0" w:name="_GoBack"/>
      <w:bookmarkEnd w:id="0"/>
    </w:p>
    <w:p w14:paraId="01550115">
      <w:pPr>
        <w:spacing w:line="360" w:lineRule="auto"/>
        <w:ind w:firstLine="482" w:firstLineChars="201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项目最高限标价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75</w:t>
      </w:r>
      <w:r>
        <w:rPr>
          <w:rFonts w:hint="eastAsia" w:asciiTheme="minorEastAsia" w:hAnsiTheme="minorEastAsia"/>
          <w:b/>
          <w:bCs/>
          <w:color w:val="auto"/>
          <w:sz w:val="24"/>
          <w:szCs w:val="24"/>
        </w:rPr>
        <w:t>万元</w:t>
      </w:r>
      <w:r>
        <w:rPr>
          <w:rFonts w:hint="eastAsia" w:asciiTheme="minorEastAsia" w:hAnsiTheme="minorEastAsia"/>
          <w:color w:val="auto"/>
          <w:sz w:val="24"/>
          <w:szCs w:val="24"/>
        </w:rPr>
        <w:t>，按合同约定</w:t>
      </w:r>
      <w:r>
        <w:rPr>
          <w:rFonts w:hint="eastAsia" w:asciiTheme="minorEastAsia" w:hAnsiTheme="minorEastAsia"/>
          <w:color w:val="auto"/>
          <w:sz w:val="24"/>
          <w:szCs w:val="24"/>
          <w:lang w:eastAsia="zh-CN"/>
        </w:rPr>
        <w:t>分别约定</w:t>
      </w:r>
      <w:r>
        <w:rPr>
          <w:rFonts w:hint="eastAsia" w:asciiTheme="minorEastAsia" w:hAnsiTheme="minorEastAsia"/>
          <w:color w:val="auto"/>
          <w:sz w:val="24"/>
          <w:szCs w:val="24"/>
        </w:rPr>
        <w:t>付款</w:t>
      </w:r>
      <w:r>
        <w:rPr>
          <w:rFonts w:hint="eastAsia" w:asciiTheme="minorEastAsia" w:hAnsiTheme="minorEastAsia"/>
          <w:color w:val="auto"/>
          <w:sz w:val="24"/>
          <w:szCs w:val="24"/>
          <w:lang w:eastAsia="zh-CN"/>
        </w:rPr>
        <w:t>比例及方式</w:t>
      </w:r>
      <w:r>
        <w:rPr>
          <w:rFonts w:hint="eastAsia" w:asciiTheme="minorEastAsia" w:hAnsiTheme="minorEastAsia"/>
          <w:color w:val="auto"/>
          <w:sz w:val="24"/>
          <w:szCs w:val="24"/>
        </w:rPr>
        <w:t>。</w:t>
      </w:r>
    </w:p>
    <w:p w14:paraId="4ADF096A">
      <w:pPr>
        <w:spacing w:line="360" w:lineRule="auto"/>
        <w:rPr>
          <w:rFonts w:hint="eastAsia" w:asciiTheme="minorEastAsia" w:hAnsiTheme="minorEastAsia" w:eastAsia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四、</w:t>
      </w:r>
    </w:p>
    <w:p w14:paraId="610EAC13">
      <w:pPr>
        <w:pStyle w:val="8"/>
        <w:numPr>
          <w:ilvl w:val="0"/>
          <w:numId w:val="0"/>
        </w:numPr>
        <w:spacing w:line="360" w:lineRule="auto"/>
        <w:ind w:left="420" w:leftChars="0" w:hanging="420" w:firstLineChars="0"/>
        <w:rPr>
          <w:rFonts w:asciiTheme="minorEastAsia" w:hAnsiTheme="minorEastAsia"/>
          <w:b/>
          <w:color w:val="auto"/>
          <w:sz w:val="28"/>
          <w:szCs w:val="28"/>
        </w:rPr>
      </w:pPr>
      <w:r>
        <w:rPr>
          <w:rFonts w:hint="eastAsia" w:asciiTheme="minorEastAsia" w:hAnsiTheme="minorEastAsia" w:cstheme="minorBidi"/>
          <w:b/>
          <w:color w:val="auto"/>
          <w:kern w:val="2"/>
          <w:sz w:val="28"/>
          <w:szCs w:val="28"/>
          <w:lang w:val="en-US" w:eastAsia="zh-CN" w:bidi="ar-SA"/>
        </w:rPr>
        <w:t>五</w:t>
      </w:r>
      <w:r>
        <w:rPr>
          <w:rFonts w:asciiTheme="minorEastAsia" w:hAnsiTheme="minorEastAsia" w:eastAsiaTheme="minorEastAsia" w:cstheme="minorBidi"/>
          <w:b/>
          <w:color w:val="auto"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>服务期限：自合同签订之日起</w:t>
      </w:r>
      <w:r>
        <w:rPr>
          <w:rFonts w:hint="eastAsia" w:asciiTheme="minorEastAsia" w:hAnsiTheme="minorEastAsia"/>
          <w:b/>
          <w:color w:val="auto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>个月。</w:t>
      </w:r>
    </w:p>
    <w:p w14:paraId="3E6CE522">
      <w:pPr>
        <w:spacing w:line="360" w:lineRule="auto"/>
        <w:ind w:firstLine="482" w:firstLineChars="201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color w:val="auto"/>
          <w:sz w:val="24"/>
          <w:szCs w:val="24"/>
        </w:rPr>
        <w:t>-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color w:val="auto"/>
          <w:sz w:val="24"/>
          <w:szCs w:val="24"/>
        </w:rPr>
        <w:t>月：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暑期</w:t>
      </w:r>
      <w:r>
        <w:rPr>
          <w:rFonts w:hint="eastAsia" w:asciiTheme="minorEastAsia" w:hAnsiTheme="minorEastAsia"/>
          <w:color w:val="auto"/>
          <w:sz w:val="24"/>
          <w:szCs w:val="24"/>
        </w:rPr>
        <w:t>亲子季</w:t>
      </w:r>
    </w:p>
    <w:p w14:paraId="77BFF2F0">
      <w:pPr>
        <w:spacing w:line="360" w:lineRule="auto"/>
        <w:ind w:firstLine="482" w:firstLineChars="201"/>
        <w:rPr>
          <w:rFonts w:hint="default" w:asciiTheme="minorEastAsia" w:hAnsiTheme="minorEastAsia" w:eastAsia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以真实的体验感官和体验氛围，展现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游轮旅行</w:t>
      </w:r>
      <w:r>
        <w:rPr>
          <w:rFonts w:hint="eastAsia" w:asciiTheme="minorEastAsia" w:hAnsiTheme="minorEastAsia"/>
          <w:color w:val="auto"/>
          <w:sz w:val="24"/>
          <w:szCs w:val="24"/>
        </w:rPr>
        <w:t>与城市、生活、情感、品牌的生动链接，</w:t>
      </w:r>
      <w:r>
        <w:rPr>
          <w:rFonts w:hint="eastAsia" w:asciiTheme="minorEastAsia" w:hAnsiTheme="minorEastAsia"/>
          <w:color w:val="auto"/>
          <w:sz w:val="24"/>
          <w:szCs w:val="24"/>
          <w:lang w:val="en-US" w:eastAsia="zh-CN"/>
        </w:rPr>
        <w:t>配合国家地理宣传资源</w:t>
      </w:r>
      <w:r>
        <w:rPr>
          <w:rFonts w:hint="eastAsia" w:asciiTheme="minorEastAsia" w:hAnsiTheme="minorEastAsia"/>
          <w:color w:val="auto"/>
          <w:sz w:val="24"/>
          <w:szCs w:val="24"/>
        </w:rPr>
        <w:t>，共创线下多点位体验活动，声量共赢</w:t>
      </w:r>
      <w:r>
        <w:rPr>
          <w:rFonts w:hint="eastAsia" w:asciiTheme="minorEastAsia" w:hAnsiTheme="minorEastAsia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/>
          <w:color w:val="auto"/>
          <w:sz w:val="24"/>
          <w:szCs w:val="24"/>
        </w:rPr>
        <w:t>实现双方人群共同沉淀。</w:t>
      </w:r>
    </w:p>
    <w:p w14:paraId="6E2D9B48">
      <w:pPr>
        <w:spacing w:line="360" w:lineRule="auto"/>
        <w:ind w:firstLine="482" w:firstLineChars="201"/>
        <w:rPr>
          <w:rFonts w:hint="eastAsia" w:asciiTheme="minorEastAsia" w:hAnsiTheme="minorEastAsia"/>
          <w:color w:val="auto"/>
          <w:sz w:val="24"/>
          <w:szCs w:val="24"/>
        </w:rPr>
      </w:pPr>
    </w:p>
    <w:p w14:paraId="1028CD28">
      <w:pPr>
        <w:pStyle w:val="8"/>
        <w:numPr>
          <w:ilvl w:val="0"/>
          <w:numId w:val="0"/>
        </w:numPr>
        <w:spacing w:line="360" w:lineRule="auto"/>
        <w:ind w:left="420" w:leftChars="0" w:hanging="420" w:firstLineChars="0"/>
        <w:rPr>
          <w:rFonts w:asciiTheme="minorEastAsia" w:hAnsiTheme="minorEastAsia"/>
          <w:b/>
          <w:color w:val="auto"/>
          <w:sz w:val="28"/>
          <w:szCs w:val="28"/>
        </w:rPr>
      </w:pPr>
      <w:r>
        <w:rPr>
          <w:rFonts w:hint="eastAsia" w:asciiTheme="minorEastAsia" w:hAnsiTheme="minorEastAsia" w:cstheme="minorBidi"/>
          <w:b/>
          <w:color w:val="auto"/>
          <w:kern w:val="2"/>
          <w:sz w:val="28"/>
          <w:szCs w:val="28"/>
          <w:lang w:val="en-US" w:eastAsia="zh-CN" w:bidi="ar-SA"/>
        </w:rPr>
        <w:t>六</w:t>
      </w:r>
      <w:r>
        <w:rPr>
          <w:rFonts w:asciiTheme="minorEastAsia" w:hAnsiTheme="minorEastAsia" w:eastAsiaTheme="minorEastAsia" w:cstheme="minorBidi"/>
          <w:b/>
          <w:color w:val="auto"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Theme="minorEastAsia" w:hAnsiTheme="minorEastAsia"/>
          <w:b/>
          <w:color w:val="auto"/>
          <w:sz w:val="28"/>
          <w:szCs w:val="28"/>
        </w:rPr>
        <w:t xml:space="preserve">项目验收标准及要求 </w:t>
      </w:r>
    </w:p>
    <w:p w14:paraId="24CBCB8B">
      <w:pPr>
        <w:spacing w:line="360" w:lineRule="auto"/>
        <w:ind w:firstLine="482" w:firstLineChars="201"/>
        <w:rPr>
          <w:rFonts w:hint="eastAsia" w:asciiTheme="minorEastAsia" w:hAnsiTheme="minorEastAsia"/>
          <w:color w:val="auto"/>
          <w:sz w:val="24"/>
          <w:szCs w:val="24"/>
        </w:rPr>
      </w:pPr>
      <w:r>
        <w:rPr>
          <w:rFonts w:hint="eastAsia" w:asciiTheme="minorEastAsia" w:hAnsiTheme="minorEastAsia"/>
          <w:color w:val="auto"/>
          <w:sz w:val="24"/>
          <w:szCs w:val="24"/>
        </w:rPr>
        <w:t>项目各阶段工作结束时，由供应商提供对应项目阶段的效果评估报告，采购方按照报告内容及项目实施情况进行验收。</w:t>
      </w:r>
    </w:p>
    <w:p w14:paraId="2DFE9A3D">
      <w:pPr>
        <w:spacing w:line="360" w:lineRule="auto"/>
        <w:ind w:firstLine="484" w:firstLineChars="201"/>
        <w:rPr>
          <w:rFonts w:hint="default" w:asciiTheme="minorEastAsia" w:hAnsiTheme="minorEastAsia" w:eastAsia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/>
          <w:bCs/>
          <w:color w:val="auto"/>
          <w:sz w:val="24"/>
          <w:szCs w:val="24"/>
          <w:lang w:val="en-US" w:eastAsia="zh-CN"/>
        </w:rPr>
        <w:t>结案报告除了基本的合作内容展示列出外，还需包含对本次项目达人推广的效果数据分析、推广视频观众分析（性别占比、年龄、地域分布）、评论/平台搜索关键词覆盖情况分析、项目推广过程产生的问题列出、项目结论并对下次推广方向改进提出指导性建议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Kaiti SC Regular">
    <w:altName w:val="宋体"/>
    <w:panose1 w:val="00000000000000000000"/>
    <w:charset w:val="86"/>
    <w:family w:val="auto"/>
    <w:pitch w:val="default"/>
    <w:sig w:usb0="00000000" w:usb1="00000000" w:usb2="00000016" w:usb3="00000000" w:csb0="0004001F" w:csb1="00000000"/>
  </w:font>
  <w:font w:name="Kaiti SC Bold">
    <w:altName w:val="宋体"/>
    <w:panose1 w:val="00000000000000000000"/>
    <w:charset w:val="86"/>
    <w:family w:val="auto"/>
    <w:pitch w:val="default"/>
    <w:sig w:usb0="00000000" w:usb1="0000000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28A430"/>
    <w:multiLevelType w:val="singleLevel"/>
    <w:tmpl w:val="9928A43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color w:val="auto"/>
      </w:rPr>
    </w:lvl>
  </w:abstractNum>
  <w:abstractNum w:abstractNumId="1">
    <w:nsid w:val="433A0228"/>
    <w:multiLevelType w:val="singleLevel"/>
    <w:tmpl w:val="433A0228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4NzdlZDFkMzk2M2VkNjg1MTk3OWY5MzBjODY0ZmIifQ=="/>
  </w:docVars>
  <w:rsids>
    <w:rsidRoot w:val="009D052E"/>
    <w:rsid w:val="000121FD"/>
    <w:rsid w:val="00026038"/>
    <w:rsid w:val="00050C7D"/>
    <w:rsid w:val="000605B4"/>
    <w:rsid w:val="00190B65"/>
    <w:rsid w:val="001A49CA"/>
    <w:rsid w:val="001D356E"/>
    <w:rsid w:val="00292C81"/>
    <w:rsid w:val="002A2669"/>
    <w:rsid w:val="00330212"/>
    <w:rsid w:val="00361C8F"/>
    <w:rsid w:val="003B5EAF"/>
    <w:rsid w:val="003E5EC5"/>
    <w:rsid w:val="0043135C"/>
    <w:rsid w:val="004327FA"/>
    <w:rsid w:val="00434EC2"/>
    <w:rsid w:val="004F014D"/>
    <w:rsid w:val="00553C3D"/>
    <w:rsid w:val="005E635B"/>
    <w:rsid w:val="0060280E"/>
    <w:rsid w:val="00661C78"/>
    <w:rsid w:val="00671C92"/>
    <w:rsid w:val="00695D60"/>
    <w:rsid w:val="006B472F"/>
    <w:rsid w:val="006D1DBE"/>
    <w:rsid w:val="007671AE"/>
    <w:rsid w:val="00793FF6"/>
    <w:rsid w:val="008376A8"/>
    <w:rsid w:val="00865AA3"/>
    <w:rsid w:val="009A3E57"/>
    <w:rsid w:val="009A72F2"/>
    <w:rsid w:val="009B65E6"/>
    <w:rsid w:val="009D052E"/>
    <w:rsid w:val="009D6826"/>
    <w:rsid w:val="009F1CBA"/>
    <w:rsid w:val="00A43E35"/>
    <w:rsid w:val="00A463DA"/>
    <w:rsid w:val="00A801E2"/>
    <w:rsid w:val="00A85ED9"/>
    <w:rsid w:val="00AC3623"/>
    <w:rsid w:val="00AD0E4E"/>
    <w:rsid w:val="00B27675"/>
    <w:rsid w:val="00B55045"/>
    <w:rsid w:val="00B6309D"/>
    <w:rsid w:val="00BA1153"/>
    <w:rsid w:val="00C06977"/>
    <w:rsid w:val="00C20943"/>
    <w:rsid w:val="00C5266A"/>
    <w:rsid w:val="00CB1D09"/>
    <w:rsid w:val="00CE03B1"/>
    <w:rsid w:val="00D21610"/>
    <w:rsid w:val="00D24621"/>
    <w:rsid w:val="00D76707"/>
    <w:rsid w:val="00D8779F"/>
    <w:rsid w:val="00E26376"/>
    <w:rsid w:val="00E93C05"/>
    <w:rsid w:val="00ED026E"/>
    <w:rsid w:val="00F31569"/>
    <w:rsid w:val="00F471BE"/>
    <w:rsid w:val="00F772E8"/>
    <w:rsid w:val="01282E62"/>
    <w:rsid w:val="01FE3A7A"/>
    <w:rsid w:val="02026F35"/>
    <w:rsid w:val="02296E92"/>
    <w:rsid w:val="02F23728"/>
    <w:rsid w:val="03284248"/>
    <w:rsid w:val="04455596"/>
    <w:rsid w:val="04C133B2"/>
    <w:rsid w:val="04EA6DAD"/>
    <w:rsid w:val="056B77C2"/>
    <w:rsid w:val="05926AFC"/>
    <w:rsid w:val="05AC4062"/>
    <w:rsid w:val="05CF7D50"/>
    <w:rsid w:val="069114AA"/>
    <w:rsid w:val="070B125C"/>
    <w:rsid w:val="071874D5"/>
    <w:rsid w:val="07597B99"/>
    <w:rsid w:val="07B13BB2"/>
    <w:rsid w:val="07F817E1"/>
    <w:rsid w:val="0822685D"/>
    <w:rsid w:val="08787544"/>
    <w:rsid w:val="08C706F0"/>
    <w:rsid w:val="08D35DAA"/>
    <w:rsid w:val="0926412B"/>
    <w:rsid w:val="0A84735B"/>
    <w:rsid w:val="0AE20526"/>
    <w:rsid w:val="0B5F3925"/>
    <w:rsid w:val="0B640F3B"/>
    <w:rsid w:val="0BA15CEB"/>
    <w:rsid w:val="0CC51EAD"/>
    <w:rsid w:val="0D2C3CDA"/>
    <w:rsid w:val="0D703BC7"/>
    <w:rsid w:val="0DDA54E4"/>
    <w:rsid w:val="0E1C5AFD"/>
    <w:rsid w:val="0E243A05"/>
    <w:rsid w:val="0E5E7EC3"/>
    <w:rsid w:val="10200A82"/>
    <w:rsid w:val="10E072B6"/>
    <w:rsid w:val="119105B0"/>
    <w:rsid w:val="12137217"/>
    <w:rsid w:val="128B3251"/>
    <w:rsid w:val="12971BF6"/>
    <w:rsid w:val="14131750"/>
    <w:rsid w:val="14C753C2"/>
    <w:rsid w:val="15C727F2"/>
    <w:rsid w:val="15F1786F"/>
    <w:rsid w:val="1767603B"/>
    <w:rsid w:val="17682F43"/>
    <w:rsid w:val="18147845"/>
    <w:rsid w:val="18356139"/>
    <w:rsid w:val="1881137E"/>
    <w:rsid w:val="1A2E1092"/>
    <w:rsid w:val="1A4B1C44"/>
    <w:rsid w:val="1B124510"/>
    <w:rsid w:val="1D0460DA"/>
    <w:rsid w:val="1DAD0CA0"/>
    <w:rsid w:val="1E856051"/>
    <w:rsid w:val="1F880093"/>
    <w:rsid w:val="201900EE"/>
    <w:rsid w:val="20FF72E4"/>
    <w:rsid w:val="21867A05"/>
    <w:rsid w:val="219739C1"/>
    <w:rsid w:val="220A23E4"/>
    <w:rsid w:val="226715E5"/>
    <w:rsid w:val="231057D9"/>
    <w:rsid w:val="23571659"/>
    <w:rsid w:val="23CE2F9E"/>
    <w:rsid w:val="24022712"/>
    <w:rsid w:val="24262DDA"/>
    <w:rsid w:val="25056E93"/>
    <w:rsid w:val="25706A02"/>
    <w:rsid w:val="258B383C"/>
    <w:rsid w:val="26094761"/>
    <w:rsid w:val="268D7140"/>
    <w:rsid w:val="26906C30"/>
    <w:rsid w:val="29AB625B"/>
    <w:rsid w:val="29E654E5"/>
    <w:rsid w:val="2A946CEF"/>
    <w:rsid w:val="2AFA6E42"/>
    <w:rsid w:val="2B146082"/>
    <w:rsid w:val="2B8925CC"/>
    <w:rsid w:val="2CBA4A07"/>
    <w:rsid w:val="2E823302"/>
    <w:rsid w:val="2E913546"/>
    <w:rsid w:val="30202DD3"/>
    <w:rsid w:val="321D581C"/>
    <w:rsid w:val="32981347"/>
    <w:rsid w:val="32E20814"/>
    <w:rsid w:val="32FE389F"/>
    <w:rsid w:val="331A1D5C"/>
    <w:rsid w:val="33242BDA"/>
    <w:rsid w:val="33C825B9"/>
    <w:rsid w:val="34480B4A"/>
    <w:rsid w:val="350B4052"/>
    <w:rsid w:val="360016DD"/>
    <w:rsid w:val="361433DA"/>
    <w:rsid w:val="363E62B8"/>
    <w:rsid w:val="36A54032"/>
    <w:rsid w:val="36DB3EF8"/>
    <w:rsid w:val="36F154C9"/>
    <w:rsid w:val="37144D14"/>
    <w:rsid w:val="37691503"/>
    <w:rsid w:val="383F0500"/>
    <w:rsid w:val="3894435E"/>
    <w:rsid w:val="39383626"/>
    <w:rsid w:val="397B107A"/>
    <w:rsid w:val="39FC665F"/>
    <w:rsid w:val="3A811B94"/>
    <w:rsid w:val="3AAD7959"/>
    <w:rsid w:val="3B381919"/>
    <w:rsid w:val="3B9C3C56"/>
    <w:rsid w:val="3BCC3E0F"/>
    <w:rsid w:val="3BD86C58"/>
    <w:rsid w:val="3C243C4B"/>
    <w:rsid w:val="3D9F5C7F"/>
    <w:rsid w:val="3E0E4BB3"/>
    <w:rsid w:val="3E23065E"/>
    <w:rsid w:val="3EC139D3"/>
    <w:rsid w:val="3F081602"/>
    <w:rsid w:val="3F7647BE"/>
    <w:rsid w:val="3F8E6B92"/>
    <w:rsid w:val="3F8F587F"/>
    <w:rsid w:val="3FD00372"/>
    <w:rsid w:val="3FF1653A"/>
    <w:rsid w:val="40027E63"/>
    <w:rsid w:val="40376E6B"/>
    <w:rsid w:val="40537DE8"/>
    <w:rsid w:val="4101455B"/>
    <w:rsid w:val="41393CF5"/>
    <w:rsid w:val="417E204F"/>
    <w:rsid w:val="428611BC"/>
    <w:rsid w:val="42A653BA"/>
    <w:rsid w:val="42DE2DA6"/>
    <w:rsid w:val="43A318F9"/>
    <w:rsid w:val="445F3A72"/>
    <w:rsid w:val="447C0AC8"/>
    <w:rsid w:val="45611A6C"/>
    <w:rsid w:val="459040FF"/>
    <w:rsid w:val="462907DC"/>
    <w:rsid w:val="463A4797"/>
    <w:rsid w:val="469B0FAE"/>
    <w:rsid w:val="474B29D4"/>
    <w:rsid w:val="47633879"/>
    <w:rsid w:val="4812529F"/>
    <w:rsid w:val="488B752C"/>
    <w:rsid w:val="48A24875"/>
    <w:rsid w:val="49B74350"/>
    <w:rsid w:val="49CA5E32"/>
    <w:rsid w:val="4A630034"/>
    <w:rsid w:val="4AE03433"/>
    <w:rsid w:val="4B1E52E1"/>
    <w:rsid w:val="4BCD0AB5"/>
    <w:rsid w:val="4BD411EA"/>
    <w:rsid w:val="4E340057"/>
    <w:rsid w:val="4FFF435B"/>
    <w:rsid w:val="500E459E"/>
    <w:rsid w:val="50395ABF"/>
    <w:rsid w:val="507B7E86"/>
    <w:rsid w:val="50A218B6"/>
    <w:rsid w:val="50B73ADC"/>
    <w:rsid w:val="5100482F"/>
    <w:rsid w:val="513444D8"/>
    <w:rsid w:val="51A451BA"/>
    <w:rsid w:val="5221688F"/>
    <w:rsid w:val="525F7333"/>
    <w:rsid w:val="528A2602"/>
    <w:rsid w:val="52A116FA"/>
    <w:rsid w:val="52AD44CE"/>
    <w:rsid w:val="531B5950"/>
    <w:rsid w:val="533B1B4E"/>
    <w:rsid w:val="536966BB"/>
    <w:rsid w:val="53B67427"/>
    <w:rsid w:val="53E15E23"/>
    <w:rsid w:val="542720D3"/>
    <w:rsid w:val="545253A1"/>
    <w:rsid w:val="54C6369A"/>
    <w:rsid w:val="54EA382C"/>
    <w:rsid w:val="5503669C"/>
    <w:rsid w:val="56CD5502"/>
    <w:rsid w:val="56E435FE"/>
    <w:rsid w:val="56EC2EAE"/>
    <w:rsid w:val="56F24C1A"/>
    <w:rsid w:val="57120E18"/>
    <w:rsid w:val="587F3E30"/>
    <w:rsid w:val="59722042"/>
    <w:rsid w:val="5A871B1D"/>
    <w:rsid w:val="5B3A6B8F"/>
    <w:rsid w:val="5BBB382C"/>
    <w:rsid w:val="5C076A71"/>
    <w:rsid w:val="5D335644"/>
    <w:rsid w:val="5DAB5B22"/>
    <w:rsid w:val="5DCC7F73"/>
    <w:rsid w:val="5DF41277"/>
    <w:rsid w:val="5F1C6CD8"/>
    <w:rsid w:val="5F9610AE"/>
    <w:rsid w:val="5FAA4657"/>
    <w:rsid w:val="6082700E"/>
    <w:rsid w:val="6094289E"/>
    <w:rsid w:val="611B6B1B"/>
    <w:rsid w:val="6129748A"/>
    <w:rsid w:val="617D4A92"/>
    <w:rsid w:val="61860438"/>
    <w:rsid w:val="623C4F9B"/>
    <w:rsid w:val="62CE02E9"/>
    <w:rsid w:val="638210D3"/>
    <w:rsid w:val="63A948B2"/>
    <w:rsid w:val="63B445DD"/>
    <w:rsid w:val="63D538F9"/>
    <w:rsid w:val="641461CF"/>
    <w:rsid w:val="64970BAF"/>
    <w:rsid w:val="652F2B95"/>
    <w:rsid w:val="65F77B57"/>
    <w:rsid w:val="65FC33BF"/>
    <w:rsid w:val="663B4D02"/>
    <w:rsid w:val="668E7653"/>
    <w:rsid w:val="675114E9"/>
    <w:rsid w:val="684B23DC"/>
    <w:rsid w:val="68757459"/>
    <w:rsid w:val="688A4CB2"/>
    <w:rsid w:val="69985474"/>
    <w:rsid w:val="69A27DD9"/>
    <w:rsid w:val="6A1D56B2"/>
    <w:rsid w:val="6A7A2B04"/>
    <w:rsid w:val="6B1E7934"/>
    <w:rsid w:val="6B5B0B88"/>
    <w:rsid w:val="6B9320D0"/>
    <w:rsid w:val="6BEA5A68"/>
    <w:rsid w:val="6C305B70"/>
    <w:rsid w:val="6C5C11C9"/>
    <w:rsid w:val="6CC85DA9"/>
    <w:rsid w:val="6D2D0302"/>
    <w:rsid w:val="6D5B62A0"/>
    <w:rsid w:val="6E427DDD"/>
    <w:rsid w:val="6E5B69FB"/>
    <w:rsid w:val="6E9F6FDD"/>
    <w:rsid w:val="6F926B42"/>
    <w:rsid w:val="7027728A"/>
    <w:rsid w:val="703419A7"/>
    <w:rsid w:val="71597917"/>
    <w:rsid w:val="719C7804"/>
    <w:rsid w:val="71F96A05"/>
    <w:rsid w:val="720C2BDC"/>
    <w:rsid w:val="74542618"/>
    <w:rsid w:val="747131CA"/>
    <w:rsid w:val="74DD616A"/>
    <w:rsid w:val="74F3598D"/>
    <w:rsid w:val="75526B58"/>
    <w:rsid w:val="75792336"/>
    <w:rsid w:val="75FE6CDF"/>
    <w:rsid w:val="760653C2"/>
    <w:rsid w:val="766E5C13"/>
    <w:rsid w:val="771542E1"/>
    <w:rsid w:val="771A518A"/>
    <w:rsid w:val="77996CC0"/>
    <w:rsid w:val="788F0320"/>
    <w:rsid w:val="78A771BA"/>
    <w:rsid w:val="78FA19E0"/>
    <w:rsid w:val="79C8388C"/>
    <w:rsid w:val="7A0472FC"/>
    <w:rsid w:val="7A37631C"/>
    <w:rsid w:val="7A5F4726"/>
    <w:rsid w:val="7BE6624C"/>
    <w:rsid w:val="7CA3413D"/>
    <w:rsid w:val="7D515947"/>
    <w:rsid w:val="7D6733BC"/>
    <w:rsid w:val="7D9C24E7"/>
    <w:rsid w:val="7EA36676"/>
    <w:rsid w:val="7EDC56E4"/>
    <w:rsid w:val="7FA9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NormalCharacter"/>
    <w:link w:val="10"/>
    <w:autoRedefine/>
    <w:qFormat/>
    <w:uiPriority w:val="0"/>
    <w:rPr>
      <w:rFonts w:ascii="Tahoma" w:hAnsi="Tahoma"/>
      <w:sz w:val="24"/>
      <w:szCs w:val="20"/>
    </w:rPr>
  </w:style>
  <w:style w:type="paragraph" w:customStyle="1" w:styleId="10">
    <w:name w:val="UserStyle_85"/>
    <w:basedOn w:val="1"/>
    <w:link w:val="9"/>
    <w:autoRedefine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1175</Words>
  <Characters>1221</Characters>
  <Lines>3</Lines>
  <Paragraphs>1</Paragraphs>
  <TotalTime>10</TotalTime>
  <ScaleCrop>false</ScaleCrop>
  <LinksUpToDate>false</LinksUpToDate>
  <CharactersWithSpaces>1224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2022-09-13T09:34:00Z</dcterms:created>
  <dc:creator>微软用户</dc:creator>
  <cp:lastModifiedBy>AWNYOA</cp:lastModifiedBy>
  <dcterms:modified xsi:type="dcterms:W3CDTF">2025-06-03T07:04:24Z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B29B56482FAD497F93DAC54F6EC8A8AB_13</vt:lpwstr>
  </property>
  <property fmtid="{D5CDD505-2E9C-101B-9397-08002B2CF9AE}" pid="4" name="KSOTemplateDocerSaveRecord">
    <vt:lpwstr>eyJoZGlkIjoiNjljYTdmMjk3Y2VlMjZjMjJjOTYyMTc2ODI3YWU2OTAiLCJ1c2VySWQiOiIyODcyNDY1NTQifQ==</vt:lpwstr>
  </property>
</Properties>
</file>