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196C17">
      <w:pPr>
        <w:spacing w:line="360" w:lineRule="auto"/>
        <w:jc w:val="center"/>
        <w:rPr>
          <w:rFonts w:asciiTheme="minorEastAsia" w:hAnsiTheme="minorEastAsia"/>
          <w:b/>
          <w:bCs/>
          <w:sz w:val="36"/>
          <w:szCs w:val="24"/>
        </w:rPr>
      </w:pPr>
      <w:r>
        <w:rPr>
          <w:rFonts w:hint="eastAsia" w:asciiTheme="minorEastAsia" w:hAnsiTheme="minorEastAsia"/>
          <w:b/>
          <w:bCs/>
          <w:sz w:val="36"/>
          <w:szCs w:val="24"/>
        </w:rPr>
        <w:t>重庆冠达世纪游轮有限公司招标公告</w:t>
      </w:r>
    </w:p>
    <w:p w14:paraId="0374D1C8">
      <w:pPr>
        <w:spacing w:line="360" w:lineRule="auto"/>
        <w:ind w:firstLine="424" w:firstLineChars="177"/>
        <w:rPr>
          <w:rFonts w:asciiTheme="minorEastAsia" w:hAnsiTheme="minorEastAsia"/>
          <w:sz w:val="24"/>
          <w:szCs w:val="24"/>
        </w:rPr>
      </w:pPr>
      <w:r>
        <w:rPr>
          <w:rFonts w:asciiTheme="minorEastAsia" w:hAnsiTheme="minorEastAsia"/>
          <w:sz w:val="24"/>
          <w:szCs w:val="24"/>
        </w:rPr>
        <w:t>重庆冠达世纪游轮有限公司前身系深圳中小板上市企业——重庆新世纪游轮股份有限公司，开辟了长江航运IPO、游轮股、重庆旅游企业股、全国旅游业民营企业股上市的新纪录，现为隶属于重庆冠达控股集团有限公司的全资子公司。拥有“世纪游轮”品牌下现代科技豪华五星级游轮舰队</w:t>
      </w:r>
      <w:r>
        <w:rPr>
          <w:rFonts w:hint="eastAsia" w:asciiTheme="minorEastAsia" w:hAnsiTheme="minorEastAsia"/>
          <w:sz w:val="24"/>
          <w:szCs w:val="24"/>
        </w:rPr>
        <w:t>。</w:t>
      </w:r>
    </w:p>
    <w:p w14:paraId="42F95967">
      <w:pPr>
        <w:spacing w:line="360" w:lineRule="auto"/>
        <w:ind w:firstLine="424" w:firstLineChars="177"/>
        <w:rPr>
          <w:rFonts w:asciiTheme="minorEastAsia" w:hAnsiTheme="minorEastAsia"/>
          <w:sz w:val="24"/>
          <w:szCs w:val="24"/>
        </w:rPr>
      </w:pPr>
      <w:r>
        <w:rPr>
          <w:rFonts w:asciiTheme="minorEastAsia" w:hAnsiTheme="minorEastAsia"/>
          <w:sz w:val="24"/>
          <w:szCs w:val="24"/>
        </w:rPr>
        <w:t>作为长江上集游轮自主设计、自行建造、自力运营、自主营销为一体的全产业链公司，</w:t>
      </w:r>
      <w:r>
        <w:rPr>
          <w:rFonts w:hint="eastAsia" w:asciiTheme="minorEastAsia" w:hAnsiTheme="minorEastAsia"/>
          <w:sz w:val="24"/>
          <w:szCs w:val="24"/>
        </w:rPr>
        <w:t>是</w:t>
      </w:r>
      <w:r>
        <w:rPr>
          <w:rFonts w:asciiTheme="minorEastAsia" w:hAnsiTheme="minorEastAsia"/>
          <w:sz w:val="24"/>
          <w:szCs w:val="24"/>
        </w:rPr>
        <w:t>安全、绿色、科技、智能、舒适的行业标准先行</w:t>
      </w:r>
      <w:r>
        <w:rPr>
          <w:rFonts w:hint="eastAsia" w:asciiTheme="minorEastAsia" w:hAnsiTheme="minorEastAsia"/>
          <w:sz w:val="24"/>
          <w:szCs w:val="24"/>
        </w:rPr>
        <w:t>者。</w:t>
      </w:r>
    </w:p>
    <w:p w14:paraId="211987AF">
      <w:pPr>
        <w:spacing w:line="360" w:lineRule="auto"/>
        <w:ind w:firstLine="424" w:firstLineChars="177"/>
        <w:rPr>
          <w:rFonts w:asciiTheme="minorEastAsia" w:hAnsiTheme="minorEastAsia"/>
          <w:sz w:val="24"/>
          <w:szCs w:val="24"/>
        </w:rPr>
      </w:pPr>
      <w:r>
        <w:rPr>
          <w:rFonts w:hint="eastAsia" w:asciiTheme="minorEastAsia" w:hAnsiTheme="minorEastAsia"/>
          <w:sz w:val="24"/>
          <w:szCs w:val="24"/>
        </w:rPr>
        <w:t>本项目</w:t>
      </w:r>
      <w:r>
        <w:rPr>
          <w:rFonts w:hint="eastAsia" w:asciiTheme="minorEastAsia" w:hAnsiTheme="minorEastAsia"/>
          <w:sz w:val="24"/>
          <w:szCs w:val="24"/>
          <w:u w:val="single"/>
        </w:rPr>
        <w:t>　2025世纪游轮</w:t>
      </w:r>
      <w:r>
        <w:rPr>
          <w:rFonts w:hint="eastAsia" w:asciiTheme="minorEastAsia" w:hAnsiTheme="minorEastAsia"/>
          <w:sz w:val="24"/>
          <w:szCs w:val="24"/>
          <w:u w:val="single"/>
          <w:lang w:val="en-US" w:eastAsia="zh-CN"/>
        </w:rPr>
        <w:t>小红书暑期KFS项目</w:t>
      </w:r>
      <w:r>
        <w:rPr>
          <w:rFonts w:hint="eastAsia" w:asciiTheme="minorEastAsia" w:hAnsiTheme="minorEastAsia"/>
          <w:sz w:val="24"/>
          <w:szCs w:val="24"/>
          <w:u w:val="single"/>
        </w:rPr>
        <w:t xml:space="preserve"> </w:t>
      </w:r>
      <w:r>
        <w:rPr>
          <w:rFonts w:hint="eastAsia" w:asciiTheme="minorEastAsia" w:hAnsiTheme="minorEastAsia"/>
          <w:sz w:val="24"/>
          <w:szCs w:val="24"/>
        </w:rPr>
        <w:t>资金来自</w:t>
      </w:r>
      <w:r>
        <w:rPr>
          <w:rFonts w:hint="eastAsia" w:asciiTheme="minorEastAsia" w:hAnsiTheme="minorEastAsia"/>
          <w:sz w:val="24"/>
          <w:szCs w:val="24"/>
          <w:u w:val="single"/>
        </w:rPr>
        <w:t xml:space="preserve"> 自筹资金 </w:t>
      </w:r>
      <w:r>
        <w:rPr>
          <w:rFonts w:hint="eastAsia" w:asciiTheme="minorEastAsia" w:hAnsiTheme="minorEastAsia"/>
          <w:sz w:val="24"/>
          <w:szCs w:val="24"/>
        </w:rPr>
        <w:t>已全部到位。项目已具备招标条件，现对该项目进行公开招标。</w:t>
      </w:r>
    </w:p>
    <w:p w14:paraId="7EC8B7BF">
      <w:pPr>
        <w:spacing w:line="360" w:lineRule="auto"/>
        <w:ind w:firstLine="480"/>
        <w:rPr>
          <w:rFonts w:asciiTheme="minorEastAsia" w:hAnsiTheme="minorEastAsia"/>
          <w:sz w:val="24"/>
          <w:szCs w:val="24"/>
        </w:rPr>
      </w:pPr>
    </w:p>
    <w:p w14:paraId="0B2D0E0B">
      <w:pPr>
        <w:pStyle w:val="19"/>
        <w:widowControl/>
        <w:numPr>
          <w:ilvl w:val="0"/>
          <w:numId w:val="1"/>
        </w:numPr>
        <w:shd w:val="clear" w:color="auto" w:fill="FFFFFF"/>
        <w:spacing w:line="360" w:lineRule="auto"/>
        <w:ind w:firstLineChars="0"/>
        <w:outlineLvl w:val="1"/>
        <w:rPr>
          <w:rFonts w:cs="Arial" w:asciiTheme="minorEastAsia" w:hAnsiTheme="minorEastAsia"/>
          <w:b/>
          <w:kern w:val="0"/>
          <w:sz w:val="32"/>
          <w:szCs w:val="32"/>
        </w:rPr>
      </w:pPr>
      <w:r>
        <w:rPr>
          <w:rFonts w:hint="eastAsia" w:cs="Arial" w:asciiTheme="minorEastAsia" w:hAnsiTheme="minorEastAsia"/>
          <w:b/>
          <w:kern w:val="0"/>
          <w:sz w:val="32"/>
          <w:szCs w:val="32"/>
        </w:rPr>
        <w:t>招标条件</w:t>
      </w:r>
    </w:p>
    <w:p w14:paraId="3F76F1FD">
      <w:pPr>
        <w:pStyle w:val="19"/>
        <w:numPr>
          <w:ilvl w:val="0"/>
          <w:numId w:val="2"/>
        </w:numPr>
        <w:spacing w:line="360" w:lineRule="auto"/>
        <w:ind w:left="0" w:firstLine="0" w:firstLineChars="0"/>
        <w:rPr>
          <w:rFonts w:asciiTheme="minorEastAsia" w:hAnsiTheme="minorEastAsia"/>
          <w:sz w:val="24"/>
          <w:szCs w:val="24"/>
        </w:rPr>
      </w:pPr>
      <w:bookmarkStart w:id="0" w:name="_Toc12609203"/>
      <w:bookmarkEnd w:id="0"/>
      <w:bookmarkStart w:id="1" w:name="_Toc389065123"/>
      <w:bookmarkEnd w:id="1"/>
      <w:bookmarkStart w:id="2" w:name="_Toc79576674"/>
      <w:bookmarkEnd w:id="2"/>
      <w:bookmarkStart w:id="3" w:name="_Toc407135050"/>
      <w:r>
        <w:rPr>
          <w:rFonts w:hint="eastAsia" w:asciiTheme="minorEastAsia" w:hAnsiTheme="minorEastAsia"/>
          <w:sz w:val="24"/>
          <w:szCs w:val="24"/>
        </w:rPr>
        <w:t>供应商必须符合但不限于《中华人民共和国政府采购法》第二十二条要求；</w:t>
      </w:r>
    </w:p>
    <w:p w14:paraId="3AA507C5">
      <w:pPr>
        <w:pStyle w:val="19"/>
        <w:numPr>
          <w:ilvl w:val="0"/>
          <w:numId w:val="2"/>
        </w:numPr>
        <w:spacing w:line="360" w:lineRule="auto"/>
        <w:ind w:left="0" w:firstLine="0" w:firstLineChars="0"/>
        <w:rPr>
          <w:rFonts w:asciiTheme="minorEastAsia" w:hAnsiTheme="minorEastAsia"/>
          <w:sz w:val="24"/>
          <w:szCs w:val="24"/>
        </w:rPr>
      </w:pPr>
      <w:r>
        <w:rPr>
          <w:rFonts w:hint="eastAsia" w:asciiTheme="minorEastAsia" w:hAnsiTheme="minorEastAsia"/>
          <w:sz w:val="24"/>
          <w:szCs w:val="24"/>
        </w:rPr>
        <w:t>如果投标单位作为境外生产企业的中国总代理进行投标，则应提供代理授权书；</w:t>
      </w:r>
    </w:p>
    <w:p w14:paraId="2D7E65F2">
      <w:pPr>
        <w:pStyle w:val="19"/>
        <w:numPr>
          <w:ilvl w:val="0"/>
          <w:numId w:val="2"/>
        </w:numPr>
        <w:spacing w:line="360" w:lineRule="auto"/>
        <w:ind w:left="0" w:firstLine="0" w:firstLineChars="0"/>
        <w:rPr>
          <w:rFonts w:asciiTheme="minorEastAsia" w:hAnsiTheme="minorEastAsia"/>
          <w:sz w:val="24"/>
          <w:szCs w:val="24"/>
        </w:rPr>
      </w:pPr>
      <w:r>
        <w:rPr>
          <w:rFonts w:hint="eastAsia" w:asciiTheme="minorEastAsia" w:hAnsiTheme="minorEastAsia"/>
          <w:sz w:val="24"/>
          <w:szCs w:val="24"/>
        </w:rPr>
        <w:t>供应商在“信用中国”（www.creditchina.gov.cn）网站中未被列入失信被执行人、重大税收违法案件当事人名单、不限于政府采购严重违法失信行为记录名单。</w:t>
      </w:r>
    </w:p>
    <w:p w14:paraId="31C6F850">
      <w:pPr>
        <w:spacing w:line="360" w:lineRule="auto"/>
        <w:ind w:firstLine="480"/>
        <w:rPr>
          <w:rFonts w:asciiTheme="minorEastAsia" w:hAnsiTheme="minorEastAsia"/>
          <w:sz w:val="28"/>
          <w:szCs w:val="28"/>
        </w:rPr>
      </w:pPr>
    </w:p>
    <w:bookmarkEnd w:id="3"/>
    <w:p w14:paraId="7321039C">
      <w:pPr>
        <w:pStyle w:val="19"/>
        <w:widowControl/>
        <w:numPr>
          <w:ilvl w:val="0"/>
          <w:numId w:val="1"/>
        </w:numPr>
        <w:shd w:val="clear" w:color="auto" w:fill="FFFFFF"/>
        <w:spacing w:line="360" w:lineRule="auto"/>
        <w:ind w:firstLineChars="0"/>
        <w:outlineLvl w:val="1"/>
        <w:rPr>
          <w:rFonts w:cs="Arial" w:asciiTheme="minorEastAsia" w:hAnsiTheme="minorEastAsia"/>
          <w:b/>
          <w:kern w:val="0"/>
          <w:sz w:val="32"/>
          <w:szCs w:val="32"/>
        </w:rPr>
      </w:pPr>
      <w:r>
        <w:rPr>
          <w:rFonts w:hint="eastAsia" w:cs="Arial" w:asciiTheme="minorEastAsia" w:hAnsiTheme="minorEastAsia"/>
          <w:b/>
          <w:kern w:val="0"/>
          <w:sz w:val="32"/>
          <w:szCs w:val="32"/>
        </w:rPr>
        <w:t>项目基本情况</w:t>
      </w:r>
    </w:p>
    <w:p w14:paraId="01B722E4">
      <w:pPr>
        <w:pStyle w:val="19"/>
        <w:numPr>
          <w:ilvl w:val="0"/>
          <w:numId w:val="3"/>
        </w:numPr>
        <w:spacing w:line="360" w:lineRule="auto"/>
        <w:ind w:left="426" w:right="-143" w:rightChars="-68" w:hanging="426" w:firstLineChars="0"/>
        <w:rPr>
          <w:rFonts w:asciiTheme="minorEastAsia" w:hAnsiTheme="minorEastAsia"/>
          <w:sz w:val="24"/>
          <w:szCs w:val="24"/>
        </w:rPr>
      </w:pPr>
      <w:r>
        <w:rPr>
          <w:rFonts w:hint="eastAsia" w:asciiTheme="minorEastAsia" w:hAnsiTheme="minorEastAsia"/>
          <w:sz w:val="24"/>
          <w:szCs w:val="24"/>
        </w:rPr>
        <w:t>项目名称：</w:t>
      </w:r>
      <w:r>
        <w:rPr>
          <w:rFonts w:hint="eastAsia" w:asciiTheme="minorEastAsia" w:hAnsiTheme="minorEastAsia"/>
          <w:sz w:val="24"/>
          <w:szCs w:val="24"/>
          <w:u w:val="single"/>
        </w:rPr>
        <w:t>2025世纪游轮</w:t>
      </w:r>
      <w:r>
        <w:rPr>
          <w:rFonts w:hint="eastAsia" w:asciiTheme="minorEastAsia" w:hAnsiTheme="minorEastAsia"/>
          <w:sz w:val="24"/>
          <w:szCs w:val="24"/>
          <w:u w:val="single"/>
          <w:lang w:val="en-US" w:eastAsia="zh-CN"/>
        </w:rPr>
        <w:t>小红书暑期KFS项目</w:t>
      </w:r>
    </w:p>
    <w:p w14:paraId="27515EE6">
      <w:pPr>
        <w:pStyle w:val="19"/>
        <w:numPr>
          <w:ilvl w:val="0"/>
          <w:numId w:val="3"/>
        </w:numPr>
        <w:spacing w:line="360" w:lineRule="auto"/>
        <w:ind w:left="426" w:right="-143" w:rightChars="-68" w:hanging="426" w:firstLineChars="0"/>
        <w:rPr>
          <w:rFonts w:asciiTheme="minorEastAsia" w:hAnsiTheme="minorEastAsia"/>
          <w:sz w:val="24"/>
          <w:szCs w:val="24"/>
        </w:rPr>
      </w:pPr>
      <w:r>
        <w:rPr>
          <w:rFonts w:hint="eastAsia" w:asciiTheme="minorEastAsia" w:hAnsiTheme="minorEastAsia"/>
          <w:sz w:val="24"/>
          <w:szCs w:val="24"/>
          <w:lang w:eastAsia="zh-CN"/>
        </w:rPr>
        <w:t>项目最高限标价</w:t>
      </w:r>
      <w:r>
        <w:rPr>
          <w:rFonts w:hint="eastAsia" w:asciiTheme="minorEastAsia" w:hAnsiTheme="minorEastAsia"/>
          <w:sz w:val="24"/>
          <w:szCs w:val="24"/>
        </w:rPr>
        <w:t>：</w:t>
      </w:r>
      <w:r>
        <w:rPr>
          <w:rFonts w:hint="eastAsia" w:asciiTheme="minorEastAsia" w:hAnsiTheme="minorEastAsia"/>
          <w:sz w:val="24"/>
          <w:szCs w:val="24"/>
          <w:lang w:val="en-US" w:eastAsia="zh-CN"/>
        </w:rPr>
        <w:t>30万元（含25万达人费用，5万达人投放费用）</w:t>
      </w:r>
    </w:p>
    <w:p w14:paraId="4642D4A3">
      <w:pPr>
        <w:pStyle w:val="19"/>
        <w:keepNext w:val="0"/>
        <w:keepLines w:val="0"/>
        <w:pageBreakBefore w:val="0"/>
        <w:widowControl w:val="0"/>
        <w:numPr>
          <w:ilvl w:val="0"/>
          <w:numId w:val="3"/>
        </w:numPr>
        <w:kinsoku/>
        <w:wordWrap/>
        <w:overflowPunct/>
        <w:topLinePunct w:val="0"/>
        <w:autoSpaceDE/>
        <w:autoSpaceDN/>
        <w:bidi w:val="0"/>
        <w:adjustRightInd/>
        <w:spacing w:line="360" w:lineRule="auto"/>
        <w:ind w:left="424" w:leftChars="0" w:right="-143" w:rightChars="-68" w:hanging="424" w:hangingChars="177"/>
        <w:textAlignment w:val="auto"/>
        <w:rPr>
          <w:rFonts w:asciiTheme="minorEastAsia" w:hAnsiTheme="minorEastAsia"/>
          <w:sz w:val="24"/>
          <w:szCs w:val="24"/>
        </w:rPr>
      </w:pPr>
      <w:r>
        <w:rPr>
          <w:rFonts w:hint="eastAsia" w:asciiTheme="minorEastAsia" w:hAnsiTheme="minorEastAsia"/>
          <w:sz w:val="24"/>
          <w:szCs w:val="24"/>
        </w:rPr>
        <w:t>合同履行期限：以实际签订的项目合同为准</w:t>
      </w:r>
    </w:p>
    <w:p w14:paraId="564235DB">
      <w:pPr>
        <w:pStyle w:val="19"/>
        <w:keepNext w:val="0"/>
        <w:keepLines w:val="0"/>
        <w:pageBreakBefore w:val="0"/>
        <w:widowControl w:val="0"/>
        <w:numPr>
          <w:ilvl w:val="0"/>
          <w:numId w:val="3"/>
        </w:numPr>
        <w:kinsoku/>
        <w:wordWrap/>
        <w:overflowPunct/>
        <w:topLinePunct w:val="0"/>
        <w:autoSpaceDE/>
        <w:autoSpaceDN/>
        <w:bidi w:val="0"/>
        <w:adjustRightInd/>
        <w:spacing w:line="360" w:lineRule="auto"/>
        <w:ind w:left="424" w:leftChars="0" w:right="-143" w:rightChars="-68" w:hanging="424" w:hangingChars="177"/>
        <w:textAlignment w:val="auto"/>
        <w:rPr>
          <w:rFonts w:hint="eastAsia" w:asciiTheme="minorEastAsia" w:hAnsiTheme="minorEastAsia" w:eastAsiaTheme="minorEastAsia"/>
          <w:sz w:val="24"/>
          <w:szCs w:val="24"/>
          <w:lang w:val="en-US" w:eastAsia="zh-CN"/>
        </w:rPr>
      </w:pPr>
      <w:r>
        <w:rPr>
          <w:rFonts w:hint="eastAsia" w:asciiTheme="minorEastAsia" w:hAnsiTheme="minorEastAsia"/>
          <w:sz w:val="24"/>
          <w:szCs w:val="24"/>
        </w:rPr>
        <w:t>项目需求：</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1</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负责达人筛选/邀约/投放/复盘等（KFS策划方案）；（2）对达人素材采集策划与修图供我方蓝V账号使用</w:t>
      </w:r>
    </w:p>
    <w:p w14:paraId="40ACFCBF">
      <w:pPr>
        <w:pStyle w:val="19"/>
        <w:keepNext w:val="0"/>
        <w:keepLines w:val="0"/>
        <w:pageBreakBefore w:val="0"/>
        <w:widowControl w:val="0"/>
        <w:numPr>
          <w:ilvl w:val="0"/>
          <w:numId w:val="3"/>
        </w:numPr>
        <w:kinsoku/>
        <w:wordWrap/>
        <w:overflowPunct/>
        <w:topLinePunct w:val="0"/>
        <w:autoSpaceDE/>
        <w:autoSpaceDN/>
        <w:bidi w:val="0"/>
        <w:adjustRightInd/>
        <w:spacing w:line="360" w:lineRule="auto"/>
        <w:ind w:left="424" w:leftChars="0" w:right="-143" w:rightChars="-68" w:hanging="424" w:hangingChars="177"/>
        <w:textAlignment w:val="auto"/>
        <w:rPr>
          <w:rFonts w:asciiTheme="minorEastAsia" w:hAnsiTheme="minorEastAsia"/>
          <w:sz w:val="24"/>
          <w:szCs w:val="24"/>
        </w:rPr>
      </w:pPr>
      <w:r>
        <w:rPr>
          <w:rFonts w:hint="eastAsia" w:asciiTheme="minorEastAsia" w:hAnsiTheme="minorEastAsia"/>
          <w:sz w:val="24"/>
          <w:szCs w:val="24"/>
        </w:rPr>
        <w:t>本项目不接受联合体投标</w:t>
      </w:r>
      <w:r>
        <w:rPr>
          <w:rFonts w:hint="eastAsia" w:asciiTheme="minorEastAsia" w:hAnsiTheme="minorEastAsia"/>
          <w:sz w:val="24"/>
          <w:szCs w:val="24"/>
          <w:lang w:val="en-US" w:eastAsia="zh-CN"/>
        </w:rPr>
        <w:t>及项目转包</w:t>
      </w:r>
      <w:r>
        <w:rPr>
          <w:rFonts w:hint="eastAsia" w:asciiTheme="minorEastAsia" w:hAnsiTheme="minorEastAsia"/>
          <w:sz w:val="24"/>
          <w:szCs w:val="24"/>
        </w:rPr>
        <w:t>。</w:t>
      </w:r>
    </w:p>
    <w:p w14:paraId="034C5D7B">
      <w:pPr>
        <w:pStyle w:val="19"/>
        <w:spacing w:line="360" w:lineRule="auto"/>
        <w:ind w:left="426" w:right="-143" w:rightChars="-68" w:firstLine="0" w:firstLineChars="0"/>
        <w:rPr>
          <w:rFonts w:asciiTheme="minorEastAsia" w:hAnsiTheme="minorEastAsia"/>
          <w:sz w:val="24"/>
          <w:szCs w:val="24"/>
        </w:rPr>
      </w:pPr>
    </w:p>
    <w:p w14:paraId="7D88AF4D">
      <w:pPr>
        <w:pStyle w:val="19"/>
        <w:widowControl/>
        <w:numPr>
          <w:ilvl w:val="0"/>
          <w:numId w:val="1"/>
        </w:numPr>
        <w:shd w:val="clear" w:color="auto" w:fill="FFFFFF"/>
        <w:spacing w:line="360" w:lineRule="auto"/>
        <w:ind w:firstLineChars="0"/>
        <w:outlineLvl w:val="1"/>
        <w:rPr>
          <w:rFonts w:cs="Arial" w:asciiTheme="minorEastAsia" w:hAnsiTheme="minorEastAsia"/>
          <w:b/>
          <w:kern w:val="0"/>
          <w:sz w:val="32"/>
          <w:szCs w:val="32"/>
        </w:rPr>
      </w:pPr>
      <w:bookmarkStart w:id="4" w:name="_Toc407135051"/>
      <w:bookmarkEnd w:id="4"/>
      <w:bookmarkStart w:id="5" w:name="_Toc79576675"/>
      <w:bookmarkEnd w:id="5"/>
      <w:bookmarkStart w:id="6" w:name="_Toc12609204"/>
      <w:bookmarkEnd w:id="6"/>
      <w:r>
        <w:rPr>
          <w:rFonts w:hint="eastAsia" w:cs="Arial" w:asciiTheme="minorEastAsia" w:hAnsiTheme="minorEastAsia"/>
          <w:b/>
          <w:kern w:val="0"/>
          <w:sz w:val="32"/>
          <w:szCs w:val="32"/>
        </w:rPr>
        <w:t>投标人资格要求</w:t>
      </w:r>
    </w:p>
    <w:p w14:paraId="5CF4718C">
      <w:pPr>
        <w:pStyle w:val="19"/>
        <w:numPr>
          <w:ilvl w:val="0"/>
          <w:numId w:val="4"/>
        </w:numPr>
        <w:spacing w:line="360" w:lineRule="auto"/>
        <w:ind w:left="426" w:right="-143" w:rightChars="-68" w:hanging="426" w:firstLineChars="0"/>
        <w:rPr>
          <w:rFonts w:asciiTheme="minorEastAsia" w:hAnsiTheme="minorEastAsia"/>
          <w:sz w:val="24"/>
          <w:szCs w:val="24"/>
        </w:rPr>
      </w:pPr>
      <w:r>
        <w:rPr>
          <w:rFonts w:hint="eastAsia" w:asciiTheme="minorEastAsia" w:hAnsiTheme="minorEastAsia"/>
          <w:sz w:val="24"/>
          <w:szCs w:val="24"/>
        </w:rPr>
        <w:t>具有独立承担民事责任的能力</w:t>
      </w:r>
      <w:r>
        <w:rPr>
          <w:rFonts w:hint="eastAsia" w:asciiTheme="minorEastAsia" w:hAnsiTheme="minorEastAsia"/>
          <w:color w:val="auto"/>
          <w:sz w:val="24"/>
          <w:szCs w:val="24"/>
          <w:lang w:eastAsia="zh-CN"/>
        </w:rPr>
        <w:t xml:space="preserve"> (营业执照、纳税人资质、注册资本及认缴实缴等)</w:t>
      </w:r>
      <w:r>
        <w:rPr>
          <w:rFonts w:hint="eastAsia" w:asciiTheme="minorEastAsia" w:hAnsiTheme="minorEastAsia"/>
          <w:sz w:val="24"/>
          <w:szCs w:val="24"/>
        </w:rPr>
        <w:t>；</w:t>
      </w:r>
    </w:p>
    <w:p w14:paraId="67D73BD1">
      <w:pPr>
        <w:pStyle w:val="19"/>
        <w:numPr>
          <w:ilvl w:val="0"/>
          <w:numId w:val="4"/>
        </w:numPr>
        <w:spacing w:line="360" w:lineRule="auto"/>
        <w:ind w:left="0" w:right="-143" w:rightChars="-68" w:firstLine="0" w:firstLineChars="0"/>
        <w:rPr>
          <w:rFonts w:asciiTheme="minorEastAsia" w:hAnsiTheme="minorEastAsia"/>
          <w:sz w:val="24"/>
          <w:szCs w:val="24"/>
        </w:rPr>
      </w:pPr>
      <w:r>
        <w:rPr>
          <w:rFonts w:hint="eastAsia" w:asciiTheme="minorEastAsia" w:hAnsiTheme="minorEastAsia"/>
          <w:sz w:val="24"/>
          <w:szCs w:val="24"/>
        </w:rPr>
        <w:t>具有履行合同所必须的设备和专业技术能力；</w:t>
      </w:r>
    </w:p>
    <w:p w14:paraId="1B457889">
      <w:pPr>
        <w:pStyle w:val="19"/>
        <w:numPr>
          <w:ilvl w:val="0"/>
          <w:numId w:val="4"/>
        </w:numPr>
        <w:spacing w:line="360" w:lineRule="auto"/>
        <w:ind w:left="0" w:right="-143" w:rightChars="-68" w:firstLine="0" w:firstLineChars="0"/>
        <w:rPr>
          <w:rFonts w:asciiTheme="minorEastAsia" w:hAnsiTheme="minorEastAsia"/>
          <w:sz w:val="24"/>
          <w:szCs w:val="24"/>
        </w:rPr>
      </w:pPr>
      <w:r>
        <w:rPr>
          <w:rFonts w:hint="eastAsia" w:asciiTheme="minorEastAsia" w:hAnsiTheme="minorEastAsia"/>
          <w:sz w:val="24"/>
          <w:szCs w:val="24"/>
        </w:rPr>
        <w:t>有依法缴纳税收和社会保障资金的良好记录；</w:t>
      </w:r>
    </w:p>
    <w:p w14:paraId="6F09165F">
      <w:pPr>
        <w:pStyle w:val="19"/>
        <w:numPr>
          <w:ilvl w:val="0"/>
          <w:numId w:val="4"/>
        </w:numPr>
        <w:spacing w:line="360" w:lineRule="auto"/>
        <w:ind w:left="0" w:right="-143" w:rightChars="-68" w:firstLine="0" w:firstLineChars="0"/>
        <w:rPr>
          <w:rFonts w:asciiTheme="minorEastAsia" w:hAnsiTheme="minorEastAsia"/>
          <w:sz w:val="24"/>
          <w:szCs w:val="24"/>
        </w:rPr>
      </w:pPr>
      <w:r>
        <w:rPr>
          <w:rFonts w:hint="eastAsia" w:asciiTheme="minorEastAsia" w:hAnsiTheme="minorEastAsia"/>
          <w:sz w:val="24"/>
          <w:szCs w:val="24"/>
        </w:rPr>
        <w:t>公司成立两年及以上，提供增值税专用发票；</w:t>
      </w:r>
    </w:p>
    <w:p w14:paraId="262FF880">
      <w:pPr>
        <w:pStyle w:val="19"/>
        <w:numPr>
          <w:ilvl w:val="0"/>
          <w:numId w:val="4"/>
        </w:numPr>
        <w:spacing w:line="360" w:lineRule="auto"/>
        <w:ind w:left="0" w:right="-143" w:rightChars="-68" w:firstLine="0" w:firstLineChars="0"/>
        <w:rPr>
          <w:rFonts w:asciiTheme="minorEastAsia" w:hAnsiTheme="minorEastAsia"/>
          <w:sz w:val="24"/>
          <w:szCs w:val="24"/>
        </w:rPr>
      </w:pPr>
      <w:r>
        <w:rPr>
          <w:rFonts w:hint="eastAsia" w:asciiTheme="minorEastAsia" w:hAnsiTheme="minorEastAsia"/>
          <w:sz w:val="24"/>
          <w:szCs w:val="24"/>
        </w:rPr>
        <w:t>过去三年在企业经营中没有重大违法记录及民事纠纷；</w:t>
      </w:r>
    </w:p>
    <w:p w14:paraId="7D5E1F2F">
      <w:pPr>
        <w:pStyle w:val="19"/>
        <w:numPr>
          <w:ilvl w:val="0"/>
          <w:numId w:val="4"/>
        </w:numPr>
        <w:spacing w:line="360" w:lineRule="auto"/>
        <w:ind w:left="0" w:right="-143" w:rightChars="-68" w:firstLine="0" w:firstLineChars="0"/>
        <w:rPr>
          <w:rFonts w:asciiTheme="minorEastAsia" w:hAnsiTheme="minorEastAsia"/>
          <w:sz w:val="24"/>
          <w:szCs w:val="24"/>
        </w:rPr>
      </w:pPr>
      <w:r>
        <w:rPr>
          <w:rFonts w:hint="eastAsia" w:asciiTheme="minorEastAsia" w:hAnsiTheme="minorEastAsia"/>
          <w:sz w:val="24"/>
          <w:szCs w:val="24"/>
        </w:rPr>
        <w:t>投标人提交真实的本公司业绩情况及成功案例</w:t>
      </w:r>
      <w:r>
        <w:rPr>
          <w:rFonts w:hint="eastAsia" w:asciiTheme="minorEastAsia" w:hAnsiTheme="minorEastAsia"/>
          <w:sz w:val="24"/>
          <w:szCs w:val="24"/>
          <w:lang w:eastAsia="zh-CN"/>
        </w:rPr>
        <w:t>；</w:t>
      </w:r>
    </w:p>
    <w:p w14:paraId="74A0A9F8">
      <w:pPr>
        <w:pStyle w:val="19"/>
        <w:numPr>
          <w:ilvl w:val="0"/>
          <w:numId w:val="4"/>
        </w:numPr>
        <w:spacing w:line="360" w:lineRule="auto"/>
        <w:ind w:left="0" w:right="-143" w:rightChars="-68" w:firstLine="0" w:firstLineChars="0"/>
        <w:rPr>
          <w:rFonts w:asciiTheme="minorEastAsia" w:hAnsiTheme="minorEastAsia"/>
          <w:sz w:val="24"/>
          <w:szCs w:val="24"/>
        </w:rPr>
      </w:pPr>
      <w:r>
        <w:rPr>
          <w:rFonts w:hint="eastAsia" w:asciiTheme="minorEastAsia" w:hAnsiTheme="minorEastAsia"/>
          <w:sz w:val="24"/>
          <w:szCs w:val="24"/>
        </w:rPr>
        <w:t>根据最高人民法院等9部门</w:t>
      </w:r>
      <w:r>
        <w:rPr>
          <w:rFonts w:hint="eastAsia" w:asciiTheme="minorEastAsia" w:hAnsiTheme="minorEastAsia"/>
          <w:sz w:val="24"/>
          <w:szCs w:val="24"/>
          <w:lang w:val="en-US" w:eastAsia="zh-CN"/>
        </w:rPr>
        <w:t xml:space="preserve"> </w:t>
      </w:r>
      <w:r>
        <w:rPr>
          <w:rFonts w:hint="eastAsia" w:asciiTheme="minorEastAsia" w:hAnsiTheme="minorEastAsia"/>
          <w:sz w:val="24"/>
          <w:szCs w:val="24"/>
        </w:rPr>
        <w:t>《关于在招标投标活动中对失信被执行人实施联合惩戒的通知》（法〔2016〕285号）规定，投标人不得为失信被执行人（以评标阶段通过“信用中国”网站（www.creditchina.gov.cn）查询的结果为准）</w:t>
      </w:r>
      <w:bookmarkStart w:id="7" w:name="_Toc59855917"/>
      <w:bookmarkStart w:id="8" w:name="_Toc56572780"/>
      <w:bookmarkStart w:id="9" w:name="_Toc59873842"/>
      <w:bookmarkStart w:id="10" w:name="_Toc59873786"/>
      <w:bookmarkStart w:id="11" w:name="_Toc79576676"/>
      <w:r>
        <w:rPr>
          <w:rFonts w:hint="eastAsia" w:asciiTheme="minorEastAsia" w:hAnsiTheme="minorEastAsia"/>
          <w:sz w:val="24"/>
          <w:szCs w:val="24"/>
          <w:lang w:eastAsia="zh-CN"/>
        </w:rPr>
        <w:t>；</w:t>
      </w:r>
    </w:p>
    <w:p w14:paraId="503355C8">
      <w:pPr>
        <w:pStyle w:val="19"/>
        <w:numPr>
          <w:ilvl w:val="0"/>
          <w:numId w:val="4"/>
        </w:numPr>
        <w:spacing w:line="360" w:lineRule="auto"/>
        <w:ind w:left="0" w:right="-143" w:rightChars="-68" w:firstLine="0" w:firstLineChars="0"/>
        <w:rPr>
          <w:rFonts w:asciiTheme="minorEastAsia" w:hAnsiTheme="minorEastAsia"/>
          <w:b w:val="0"/>
          <w:bCs w:val="0"/>
          <w:color w:val="auto"/>
          <w:sz w:val="24"/>
          <w:szCs w:val="24"/>
        </w:rPr>
      </w:pPr>
      <w:r>
        <w:rPr>
          <w:rFonts w:hint="eastAsia" w:asciiTheme="minorEastAsia" w:hAnsiTheme="minorEastAsia"/>
          <w:b w:val="0"/>
          <w:bCs w:val="0"/>
          <w:color w:val="auto"/>
          <w:sz w:val="24"/>
          <w:szCs w:val="24"/>
          <w:lang w:val="en-US" w:eastAsia="zh-CN"/>
        </w:rPr>
        <w:t>仅限办公地点在中国大陆的公司参与。</w:t>
      </w:r>
    </w:p>
    <w:p w14:paraId="3D4D0036">
      <w:pPr>
        <w:widowControl/>
        <w:shd w:val="clear" w:color="auto" w:fill="FFFFFF"/>
        <w:spacing w:line="360" w:lineRule="auto"/>
        <w:ind w:firstLine="420"/>
        <w:jc w:val="left"/>
        <w:rPr>
          <w:rFonts w:cs="Arial" w:asciiTheme="minorEastAsia" w:hAnsiTheme="minorEastAsia"/>
          <w:kern w:val="0"/>
          <w:sz w:val="28"/>
          <w:szCs w:val="28"/>
        </w:rPr>
      </w:pPr>
    </w:p>
    <w:p w14:paraId="194A8AA1">
      <w:pPr>
        <w:pStyle w:val="19"/>
        <w:widowControl/>
        <w:numPr>
          <w:ilvl w:val="0"/>
          <w:numId w:val="1"/>
        </w:numPr>
        <w:shd w:val="clear" w:color="auto" w:fill="FFFFFF"/>
        <w:spacing w:line="360" w:lineRule="auto"/>
        <w:ind w:firstLineChars="0"/>
        <w:jc w:val="left"/>
        <w:outlineLvl w:val="1"/>
        <w:rPr>
          <w:rFonts w:cs="Arial" w:asciiTheme="minorEastAsia" w:hAnsiTheme="minorEastAsia"/>
          <w:b/>
          <w:kern w:val="0"/>
          <w:sz w:val="32"/>
          <w:szCs w:val="32"/>
        </w:rPr>
      </w:pPr>
      <w:r>
        <w:rPr>
          <w:rFonts w:hint="eastAsia" w:cs="Arial" w:asciiTheme="minorEastAsia" w:hAnsiTheme="minorEastAsia"/>
          <w:b/>
          <w:kern w:val="0"/>
          <w:sz w:val="32"/>
          <w:szCs w:val="32"/>
        </w:rPr>
        <w:t>投标文件的组成</w:t>
      </w:r>
      <w:bookmarkEnd w:id="7"/>
      <w:bookmarkEnd w:id="8"/>
      <w:bookmarkEnd w:id="9"/>
      <w:bookmarkEnd w:id="10"/>
    </w:p>
    <w:p w14:paraId="2A830DF7">
      <w:pPr>
        <w:spacing w:line="360" w:lineRule="auto"/>
        <w:ind w:firstLine="424" w:firstLineChars="177"/>
        <w:rPr>
          <w:rFonts w:asciiTheme="minorEastAsia" w:hAnsiTheme="minorEastAsia"/>
          <w:sz w:val="24"/>
          <w:szCs w:val="24"/>
        </w:rPr>
      </w:pPr>
      <w:r>
        <w:rPr>
          <w:rFonts w:hint="eastAsia" w:asciiTheme="minorEastAsia" w:hAnsiTheme="minorEastAsia"/>
          <w:sz w:val="24"/>
          <w:szCs w:val="24"/>
        </w:rPr>
        <w:t>投标文件由技术资信文件、报价文件二部分组成</w:t>
      </w:r>
      <w:r>
        <w:rPr>
          <w:rFonts w:hint="eastAsia" w:asciiTheme="minorEastAsia" w:hAnsiTheme="minorEastAsia"/>
          <w:sz w:val="24"/>
          <w:szCs w:val="24"/>
          <w:lang w:eastAsia="zh-CN"/>
        </w:rPr>
        <w:t>，均需加盖鲜章</w:t>
      </w:r>
      <w:r>
        <w:rPr>
          <w:rFonts w:hint="eastAsia" w:asciiTheme="minorEastAsia" w:hAnsiTheme="minorEastAsia"/>
          <w:sz w:val="24"/>
          <w:szCs w:val="24"/>
        </w:rPr>
        <w:t>。</w:t>
      </w:r>
    </w:p>
    <w:p w14:paraId="14BBC617">
      <w:pPr>
        <w:pStyle w:val="19"/>
        <w:numPr>
          <w:ilvl w:val="0"/>
          <w:numId w:val="5"/>
        </w:numPr>
        <w:spacing w:line="360" w:lineRule="auto"/>
        <w:ind w:firstLineChars="0"/>
        <w:rPr>
          <w:rFonts w:cs="宋体" w:asciiTheme="minorEastAsia" w:hAnsiTheme="minorEastAsia"/>
          <w:b/>
          <w:bCs/>
          <w:sz w:val="24"/>
        </w:rPr>
      </w:pPr>
      <w:r>
        <w:rPr>
          <w:rFonts w:hint="eastAsia" w:cs="宋体" w:asciiTheme="minorEastAsia" w:hAnsiTheme="minorEastAsia"/>
          <w:b/>
          <w:bCs/>
          <w:sz w:val="24"/>
        </w:rPr>
        <w:t>技术资信文件（不含报价）：</w:t>
      </w:r>
    </w:p>
    <w:p w14:paraId="5E95294E">
      <w:pPr>
        <w:pStyle w:val="19"/>
        <w:numPr>
          <w:ilvl w:val="0"/>
          <w:numId w:val="6"/>
        </w:numPr>
        <w:snapToGrid w:val="0"/>
        <w:spacing w:line="360" w:lineRule="auto"/>
        <w:ind w:firstLine="6" w:firstLineChars="0"/>
        <w:rPr>
          <w:rStyle w:val="24"/>
          <w:rFonts w:hint="eastAsia" w:eastAsia="宋体" w:cs="宋体" w:asciiTheme="minorEastAsia" w:hAnsiTheme="minorEastAsia"/>
          <w:lang w:val="zh-CN"/>
        </w:rPr>
      </w:pPr>
      <w:r>
        <w:rPr>
          <w:rStyle w:val="24"/>
          <w:rFonts w:hint="eastAsia" w:eastAsia="宋体" w:cs="宋体" w:asciiTheme="minorEastAsia" w:hAnsiTheme="minorEastAsia"/>
          <w:lang w:val="zh-CN"/>
        </w:rPr>
        <w:t>法定代表人授权委托书；</w:t>
      </w:r>
    </w:p>
    <w:p w14:paraId="2FCB1925">
      <w:pPr>
        <w:pStyle w:val="19"/>
        <w:numPr>
          <w:ilvl w:val="0"/>
          <w:numId w:val="6"/>
        </w:numPr>
        <w:snapToGrid w:val="0"/>
        <w:spacing w:line="360" w:lineRule="auto"/>
        <w:ind w:firstLine="6" w:firstLineChars="0"/>
        <w:rPr>
          <w:rStyle w:val="24"/>
          <w:rFonts w:hint="eastAsia" w:eastAsia="宋体" w:cs="宋体" w:asciiTheme="minorEastAsia" w:hAnsiTheme="minorEastAsia"/>
          <w:lang w:val="zh-CN"/>
        </w:rPr>
      </w:pPr>
      <w:r>
        <w:rPr>
          <w:rStyle w:val="24"/>
          <w:rFonts w:hint="eastAsia" w:eastAsia="宋体" w:cs="宋体" w:asciiTheme="minorEastAsia" w:hAnsiTheme="minorEastAsia"/>
          <w:lang w:val="zh-CN"/>
        </w:rPr>
        <w:t>企业法人营业执照副本复印件；</w:t>
      </w:r>
    </w:p>
    <w:p w14:paraId="25E76E3F">
      <w:pPr>
        <w:pStyle w:val="19"/>
        <w:numPr>
          <w:ilvl w:val="0"/>
          <w:numId w:val="6"/>
        </w:numPr>
        <w:snapToGrid w:val="0"/>
        <w:spacing w:line="360" w:lineRule="auto"/>
        <w:ind w:firstLine="6" w:firstLineChars="0"/>
        <w:rPr>
          <w:rStyle w:val="24"/>
          <w:rFonts w:hint="eastAsia" w:eastAsia="宋体" w:cs="宋体" w:asciiTheme="minorEastAsia" w:hAnsiTheme="minorEastAsia"/>
          <w:lang w:val="zh-CN"/>
        </w:rPr>
      </w:pPr>
      <w:r>
        <w:rPr>
          <w:rStyle w:val="24"/>
          <w:rFonts w:hint="eastAsia" w:eastAsia="宋体" w:cs="宋体" w:asciiTheme="minorEastAsia" w:hAnsiTheme="minorEastAsia"/>
          <w:lang w:val="zh-CN"/>
        </w:rPr>
        <w:t>供应商的基本情况介绍及</w:t>
      </w:r>
      <w:r>
        <w:rPr>
          <w:rStyle w:val="24"/>
          <w:rFonts w:hint="eastAsia" w:eastAsia="宋体" w:cs="宋体" w:asciiTheme="minorEastAsia" w:hAnsiTheme="minorEastAsia"/>
          <w:lang w:val="en-US" w:eastAsia="zh-CN"/>
        </w:rPr>
        <w:t>荣誉</w:t>
      </w:r>
      <w:r>
        <w:rPr>
          <w:rStyle w:val="24"/>
          <w:rFonts w:hint="eastAsia" w:eastAsia="宋体" w:cs="宋体" w:asciiTheme="minorEastAsia" w:hAnsiTheme="minorEastAsia"/>
          <w:lang w:val="zh-CN"/>
        </w:rPr>
        <w:t>；</w:t>
      </w:r>
    </w:p>
    <w:p w14:paraId="7A83F5DB">
      <w:pPr>
        <w:pStyle w:val="19"/>
        <w:numPr>
          <w:ilvl w:val="0"/>
          <w:numId w:val="6"/>
        </w:numPr>
        <w:snapToGrid w:val="0"/>
        <w:spacing w:line="360" w:lineRule="auto"/>
        <w:ind w:firstLine="6" w:firstLineChars="0"/>
        <w:rPr>
          <w:rStyle w:val="24"/>
          <w:rFonts w:hint="eastAsia" w:eastAsia="宋体" w:cs="宋体" w:asciiTheme="minorEastAsia" w:hAnsiTheme="minorEastAsia"/>
          <w:lang w:val="zh-CN"/>
        </w:rPr>
      </w:pPr>
      <w:r>
        <w:rPr>
          <w:rStyle w:val="24"/>
          <w:rFonts w:hint="eastAsia" w:eastAsia="宋体" w:cs="宋体" w:asciiTheme="minorEastAsia" w:hAnsiTheme="minorEastAsia"/>
          <w:lang w:val="zh-CN"/>
        </w:rPr>
        <w:t>企业信用公示系统的报告</w:t>
      </w:r>
      <w:r>
        <w:rPr>
          <w:rStyle w:val="24"/>
          <w:rFonts w:hint="eastAsia" w:eastAsia="宋体" w:cs="宋体" w:asciiTheme="minorEastAsia" w:hAnsiTheme="minorEastAsia"/>
          <w:lang w:val="zh-CN" w:eastAsia="zh-CN"/>
        </w:rPr>
        <w:t>；</w:t>
      </w:r>
    </w:p>
    <w:p w14:paraId="31C68064">
      <w:pPr>
        <w:pStyle w:val="19"/>
        <w:numPr>
          <w:ilvl w:val="0"/>
          <w:numId w:val="6"/>
        </w:numPr>
        <w:snapToGrid w:val="0"/>
        <w:spacing w:line="360" w:lineRule="auto"/>
        <w:ind w:firstLine="6" w:firstLineChars="0"/>
        <w:rPr>
          <w:rStyle w:val="24"/>
          <w:rFonts w:hint="eastAsia" w:eastAsia="宋体" w:cs="宋体" w:asciiTheme="minorEastAsia" w:hAnsiTheme="minorEastAsia"/>
          <w:lang w:val="zh-CN"/>
        </w:rPr>
      </w:pPr>
      <w:r>
        <w:rPr>
          <w:rStyle w:val="24"/>
          <w:rFonts w:hint="eastAsia" w:eastAsia="宋体" w:cs="宋体" w:asciiTheme="minorEastAsia" w:hAnsiTheme="minorEastAsia"/>
          <w:lang w:val="zh-CN"/>
        </w:rPr>
        <w:t>项目实施方案；</w:t>
      </w:r>
    </w:p>
    <w:p w14:paraId="5036A1DD">
      <w:pPr>
        <w:pStyle w:val="19"/>
        <w:numPr>
          <w:ilvl w:val="0"/>
          <w:numId w:val="6"/>
        </w:numPr>
        <w:snapToGrid w:val="0"/>
        <w:spacing w:line="360" w:lineRule="auto"/>
        <w:ind w:firstLine="6" w:firstLineChars="0"/>
        <w:rPr>
          <w:rStyle w:val="24"/>
          <w:rFonts w:hint="eastAsia" w:eastAsia="宋体" w:cs="宋体" w:asciiTheme="minorEastAsia" w:hAnsiTheme="minorEastAsia"/>
          <w:lang w:val="zh-TW"/>
        </w:rPr>
      </w:pPr>
      <w:r>
        <w:rPr>
          <w:rStyle w:val="24"/>
          <w:rFonts w:hint="eastAsia" w:eastAsia="宋体" w:cs="宋体" w:asciiTheme="minorEastAsia" w:hAnsiTheme="minorEastAsia"/>
          <w:lang w:val="zh-CN"/>
        </w:rPr>
        <w:t>同类项目</w:t>
      </w:r>
      <w:r>
        <w:rPr>
          <w:rStyle w:val="24"/>
          <w:rFonts w:hint="eastAsia" w:eastAsia="宋体" w:cs="宋体" w:asciiTheme="minorEastAsia" w:hAnsiTheme="minorEastAsia"/>
          <w:lang w:val="zh-TW"/>
        </w:rPr>
        <w:t>业绩</w:t>
      </w:r>
      <w:r>
        <w:rPr>
          <w:rStyle w:val="24"/>
          <w:rFonts w:hint="eastAsia" w:eastAsia="宋体" w:cs="宋体" w:asciiTheme="minorEastAsia" w:hAnsiTheme="minorEastAsia"/>
          <w:lang w:val="zh-TW" w:eastAsia="zh-CN"/>
        </w:rPr>
        <w:t>和</w:t>
      </w:r>
      <w:r>
        <w:rPr>
          <w:rStyle w:val="24"/>
          <w:rFonts w:hint="eastAsia" w:eastAsia="宋体" w:cs="宋体" w:asciiTheme="minorEastAsia" w:hAnsiTheme="minorEastAsia"/>
          <w:lang w:val="zh-CN"/>
        </w:rPr>
        <w:t>项目结案报告并加盖供应商鲜章</w:t>
      </w:r>
      <w:r>
        <w:rPr>
          <w:rStyle w:val="24"/>
          <w:rFonts w:hint="eastAsia" w:eastAsia="宋体" w:cs="宋体" w:asciiTheme="minorEastAsia" w:hAnsiTheme="minorEastAsia"/>
          <w:lang w:val="zh-TW"/>
        </w:rPr>
        <w:t>；</w:t>
      </w:r>
    </w:p>
    <w:p w14:paraId="394C8205">
      <w:pPr>
        <w:pStyle w:val="19"/>
        <w:numPr>
          <w:ilvl w:val="0"/>
          <w:numId w:val="6"/>
        </w:numPr>
        <w:snapToGrid w:val="0"/>
        <w:spacing w:line="360" w:lineRule="auto"/>
        <w:ind w:firstLine="6" w:firstLineChars="0"/>
        <w:rPr>
          <w:rStyle w:val="24"/>
          <w:rFonts w:hint="eastAsia" w:eastAsia="宋体" w:cs="宋体" w:asciiTheme="minorEastAsia" w:hAnsiTheme="minorEastAsia"/>
          <w:lang w:val="zh-CN"/>
        </w:rPr>
      </w:pPr>
      <w:r>
        <w:rPr>
          <w:rStyle w:val="24"/>
          <w:rFonts w:hint="eastAsia" w:eastAsia="宋体" w:cs="宋体" w:asciiTheme="minorEastAsia" w:hAnsiTheme="minorEastAsia"/>
          <w:lang w:val="zh-CN"/>
        </w:rPr>
        <w:t>评分规则中涉及的所需提供的资料；</w:t>
      </w:r>
    </w:p>
    <w:p w14:paraId="0004BD06">
      <w:pPr>
        <w:pStyle w:val="19"/>
        <w:numPr>
          <w:ilvl w:val="0"/>
          <w:numId w:val="6"/>
        </w:numPr>
        <w:snapToGrid w:val="0"/>
        <w:spacing w:line="360" w:lineRule="auto"/>
        <w:ind w:firstLine="6" w:firstLineChars="0"/>
        <w:rPr>
          <w:rStyle w:val="24"/>
          <w:rFonts w:hint="eastAsia" w:eastAsia="宋体" w:cs="宋体" w:asciiTheme="minorEastAsia" w:hAnsiTheme="minorEastAsia"/>
          <w:lang w:val="zh-CN"/>
        </w:rPr>
      </w:pPr>
      <w:r>
        <w:rPr>
          <w:rStyle w:val="24"/>
          <w:rFonts w:hint="eastAsia" w:eastAsia="宋体" w:cs="宋体" w:asciiTheme="minorEastAsia" w:hAnsiTheme="minorEastAsia"/>
          <w:lang w:val="zh-CN" w:eastAsia="zh-CN"/>
        </w:rPr>
        <w:t>项目</w:t>
      </w:r>
      <w:r>
        <w:rPr>
          <w:rStyle w:val="24"/>
          <w:rFonts w:hint="eastAsia" w:eastAsia="宋体" w:cs="宋体" w:asciiTheme="minorEastAsia" w:hAnsiTheme="minorEastAsia"/>
          <w:lang w:val="zh-CN"/>
        </w:rPr>
        <w:t>联系人</w:t>
      </w:r>
      <w:r>
        <w:rPr>
          <w:rStyle w:val="24"/>
          <w:rFonts w:hint="eastAsia" w:eastAsia="宋体" w:cs="宋体" w:asciiTheme="minorEastAsia" w:hAnsiTheme="minorEastAsia"/>
          <w:lang w:val="zh-CN" w:eastAsia="zh-CN"/>
        </w:rPr>
        <w:t>及联系方式；</w:t>
      </w:r>
    </w:p>
    <w:p w14:paraId="53785D61">
      <w:pPr>
        <w:pStyle w:val="19"/>
        <w:numPr>
          <w:ilvl w:val="0"/>
          <w:numId w:val="6"/>
        </w:numPr>
        <w:snapToGrid w:val="0"/>
        <w:spacing w:line="360" w:lineRule="auto"/>
        <w:ind w:firstLine="6" w:firstLineChars="0"/>
        <w:rPr>
          <w:rStyle w:val="24"/>
          <w:rFonts w:hint="eastAsia" w:eastAsia="宋体" w:cs="宋体" w:asciiTheme="minorEastAsia" w:hAnsiTheme="minorEastAsia"/>
          <w:lang w:val="zh-CN"/>
        </w:rPr>
      </w:pPr>
      <w:r>
        <w:rPr>
          <w:rStyle w:val="24"/>
          <w:rFonts w:hint="eastAsia" w:eastAsia="宋体" w:cs="宋体" w:asciiTheme="minorEastAsia" w:hAnsiTheme="minorEastAsia"/>
          <w:lang w:val="zh-CN"/>
        </w:rPr>
        <w:t>供应商需要说明的其他文件。</w:t>
      </w:r>
    </w:p>
    <w:p w14:paraId="52C13B32">
      <w:pPr>
        <w:pStyle w:val="19"/>
        <w:numPr>
          <w:ilvl w:val="0"/>
          <w:numId w:val="5"/>
        </w:numPr>
        <w:spacing w:line="360" w:lineRule="auto"/>
        <w:ind w:firstLineChars="0"/>
        <w:rPr>
          <w:rFonts w:cs="宋体" w:asciiTheme="minorEastAsia" w:hAnsiTheme="minorEastAsia"/>
          <w:b/>
          <w:bCs/>
          <w:sz w:val="24"/>
        </w:rPr>
      </w:pPr>
      <w:r>
        <w:rPr>
          <w:rFonts w:hint="eastAsia" w:cs="宋体" w:asciiTheme="minorEastAsia" w:hAnsiTheme="minorEastAsia"/>
          <w:b/>
          <w:bCs/>
          <w:sz w:val="24"/>
        </w:rPr>
        <w:t>报价文件：</w:t>
      </w:r>
    </w:p>
    <w:p w14:paraId="147CC539">
      <w:pPr>
        <w:pStyle w:val="19"/>
        <w:numPr>
          <w:ilvl w:val="0"/>
          <w:numId w:val="7"/>
        </w:numPr>
        <w:snapToGrid w:val="0"/>
        <w:spacing w:line="360" w:lineRule="auto"/>
        <w:ind w:firstLine="6" w:firstLineChars="0"/>
        <w:rPr>
          <w:rStyle w:val="24"/>
          <w:rFonts w:asciiTheme="minorEastAsia" w:hAnsiTheme="minorEastAsia"/>
          <w:lang w:val="zh-CN"/>
        </w:rPr>
      </w:pPr>
      <w:r>
        <w:rPr>
          <w:rStyle w:val="24"/>
          <w:rFonts w:hint="eastAsia" w:asciiTheme="minorEastAsia" w:hAnsiTheme="minorEastAsia"/>
          <w:lang w:val="zh-CN"/>
        </w:rPr>
        <w:t>项目报价表（</w:t>
      </w:r>
      <w:r>
        <w:rPr>
          <w:rStyle w:val="24"/>
          <w:rFonts w:hint="eastAsia" w:asciiTheme="minorEastAsia" w:hAnsiTheme="minorEastAsia"/>
          <w:lang w:val="en-US" w:eastAsia="zh-CN"/>
        </w:rPr>
        <w:t>请按</w:t>
      </w:r>
      <w:r>
        <w:rPr>
          <w:rStyle w:val="24"/>
          <w:rFonts w:hint="eastAsia" w:asciiTheme="minorEastAsia" w:hAnsiTheme="minorEastAsia"/>
          <w:b/>
          <w:bCs/>
          <w:lang w:val="en-US" w:eastAsia="zh-CN"/>
        </w:rPr>
        <w:t>附件二</w:t>
      </w:r>
      <w:r>
        <w:rPr>
          <w:rStyle w:val="24"/>
          <w:rFonts w:hint="eastAsia" w:asciiTheme="minorEastAsia" w:hAnsiTheme="minorEastAsia"/>
          <w:lang w:val="en-US" w:eastAsia="zh-CN"/>
        </w:rPr>
        <w:t>格式填写</w:t>
      </w:r>
      <w:r>
        <w:rPr>
          <w:rStyle w:val="24"/>
          <w:rFonts w:hint="eastAsia" w:asciiTheme="minorEastAsia" w:hAnsiTheme="minorEastAsia"/>
          <w:lang w:val="zh-CN"/>
        </w:rPr>
        <w:t>）；</w:t>
      </w:r>
    </w:p>
    <w:p w14:paraId="4B569740">
      <w:pPr>
        <w:pStyle w:val="19"/>
        <w:numPr>
          <w:ilvl w:val="0"/>
          <w:numId w:val="7"/>
        </w:numPr>
        <w:snapToGrid w:val="0"/>
        <w:spacing w:line="360" w:lineRule="auto"/>
        <w:ind w:firstLine="6" w:firstLineChars="0"/>
        <w:rPr>
          <w:rStyle w:val="24"/>
          <w:rFonts w:asciiTheme="minorEastAsia" w:hAnsiTheme="minorEastAsia"/>
          <w:lang w:val="zh-CN"/>
        </w:rPr>
      </w:pPr>
      <w:r>
        <w:rPr>
          <w:rStyle w:val="24"/>
          <w:rFonts w:hint="eastAsia" w:asciiTheme="minorEastAsia" w:hAnsiTheme="minorEastAsia"/>
          <w:lang w:val="zh-CN"/>
        </w:rPr>
        <w:t>供应商需要说明的其他文件。</w:t>
      </w:r>
    </w:p>
    <w:p w14:paraId="16ED73AF">
      <w:pPr>
        <w:widowControl/>
        <w:shd w:val="clear" w:color="auto" w:fill="FFFFFF"/>
        <w:spacing w:line="360" w:lineRule="auto"/>
        <w:ind w:firstLine="469"/>
        <w:jc w:val="left"/>
        <w:outlineLvl w:val="1"/>
        <w:rPr>
          <w:rFonts w:cs="Arial" w:asciiTheme="minorEastAsia" w:hAnsiTheme="minorEastAsia"/>
          <w:kern w:val="0"/>
          <w:sz w:val="28"/>
          <w:szCs w:val="28"/>
        </w:rPr>
      </w:pPr>
    </w:p>
    <w:bookmarkEnd w:id="11"/>
    <w:p w14:paraId="73E05F29">
      <w:pPr>
        <w:pStyle w:val="19"/>
        <w:widowControl/>
        <w:numPr>
          <w:ilvl w:val="0"/>
          <w:numId w:val="1"/>
        </w:numPr>
        <w:shd w:val="clear" w:color="auto" w:fill="FFFFFF"/>
        <w:spacing w:line="360" w:lineRule="auto"/>
        <w:ind w:firstLineChars="0"/>
        <w:jc w:val="left"/>
        <w:outlineLvl w:val="1"/>
        <w:rPr>
          <w:rFonts w:cs="Arial" w:asciiTheme="minorEastAsia" w:hAnsiTheme="minorEastAsia"/>
          <w:b/>
          <w:kern w:val="0"/>
          <w:sz w:val="32"/>
          <w:szCs w:val="32"/>
        </w:rPr>
      </w:pPr>
      <w:r>
        <w:rPr>
          <w:rFonts w:hint="eastAsia" w:cs="Arial" w:asciiTheme="minorEastAsia" w:hAnsiTheme="minorEastAsia"/>
          <w:b/>
          <w:kern w:val="0"/>
          <w:sz w:val="32"/>
          <w:szCs w:val="32"/>
        </w:rPr>
        <w:t>评标</w:t>
      </w:r>
      <w:r>
        <w:rPr>
          <w:rFonts w:hint="eastAsia" w:cs="宋体" w:asciiTheme="minorEastAsia" w:hAnsiTheme="minorEastAsia"/>
          <w:b/>
          <w:sz w:val="32"/>
          <w:szCs w:val="32"/>
        </w:rPr>
        <w:t>办法（综合评标法）</w:t>
      </w:r>
    </w:p>
    <w:p w14:paraId="2C683DAC">
      <w:pPr>
        <w:pStyle w:val="19"/>
        <w:numPr>
          <w:ilvl w:val="0"/>
          <w:numId w:val="8"/>
        </w:numPr>
        <w:spacing w:line="360" w:lineRule="auto"/>
        <w:ind w:firstLineChars="0"/>
        <w:rPr>
          <w:rFonts w:cs="宋体" w:asciiTheme="minorEastAsia" w:hAnsiTheme="minorEastAsia"/>
          <w:b/>
          <w:bCs/>
          <w:sz w:val="24"/>
        </w:rPr>
      </w:pPr>
      <w:r>
        <w:rPr>
          <w:rFonts w:hint="eastAsia" w:cs="宋体" w:asciiTheme="minorEastAsia" w:hAnsiTheme="minorEastAsia"/>
          <w:b/>
          <w:bCs/>
          <w:sz w:val="24"/>
        </w:rPr>
        <w:t>评标过程</w:t>
      </w:r>
    </w:p>
    <w:p w14:paraId="6FB56831">
      <w:pPr>
        <w:spacing w:line="360" w:lineRule="auto"/>
        <w:ind w:firstLine="424" w:firstLineChars="177"/>
        <w:rPr>
          <w:rFonts w:asciiTheme="minorEastAsia" w:hAnsiTheme="minorEastAsia"/>
          <w:sz w:val="24"/>
          <w:szCs w:val="24"/>
        </w:rPr>
      </w:pPr>
      <w:r>
        <w:rPr>
          <w:rFonts w:hint="eastAsia" w:asciiTheme="minorEastAsia" w:hAnsiTheme="minorEastAsia"/>
          <w:sz w:val="24"/>
          <w:szCs w:val="24"/>
        </w:rPr>
        <w:t>由评委委员会对投标人的投标文件按评标标准和程序进行评审；待全部评审工作结束，评标委员会应编制评标报告，评标委员会成员分别签名确认评审结果后，即产生最终的评标结果。</w:t>
      </w:r>
    </w:p>
    <w:p w14:paraId="77B630B6">
      <w:pPr>
        <w:pStyle w:val="19"/>
        <w:numPr>
          <w:ilvl w:val="0"/>
          <w:numId w:val="8"/>
        </w:numPr>
        <w:spacing w:line="360" w:lineRule="auto"/>
        <w:ind w:firstLineChars="0"/>
        <w:rPr>
          <w:rFonts w:cs="宋体" w:asciiTheme="minorEastAsia" w:hAnsiTheme="minorEastAsia"/>
          <w:b/>
          <w:bCs/>
          <w:sz w:val="24"/>
        </w:rPr>
      </w:pPr>
      <w:r>
        <w:rPr>
          <w:rFonts w:hint="eastAsia" w:cs="宋体" w:asciiTheme="minorEastAsia" w:hAnsiTheme="minorEastAsia"/>
          <w:b/>
          <w:bCs/>
          <w:sz w:val="24"/>
        </w:rPr>
        <w:t>评标程序项目</w:t>
      </w:r>
    </w:p>
    <w:p w14:paraId="70895D80">
      <w:pPr>
        <w:spacing w:line="360" w:lineRule="auto"/>
        <w:ind w:firstLine="424" w:firstLineChars="177"/>
        <w:rPr>
          <w:rFonts w:asciiTheme="minorEastAsia" w:hAnsiTheme="minorEastAsia"/>
          <w:sz w:val="24"/>
          <w:szCs w:val="24"/>
        </w:rPr>
      </w:pPr>
      <w:r>
        <w:rPr>
          <w:rFonts w:hint="eastAsia" w:asciiTheme="minorEastAsia" w:hAnsiTheme="minorEastAsia"/>
          <w:sz w:val="24"/>
          <w:szCs w:val="24"/>
        </w:rPr>
        <w:t>开标——资格审查——评审三个环节进行。</w:t>
      </w:r>
    </w:p>
    <w:p w14:paraId="69FA3F77">
      <w:pPr>
        <w:pStyle w:val="19"/>
        <w:numPr>
          <w:ilvl w:val="0"/>
          <w:numId w:val="8"/>
        </w:numPr>
        <w:spacing w:line="360" w:lineRule="auto"/>
        <w:ind w:firstLineChars="0"/>
        <w:rPr>
          <w:rFonts w:cs="宋体" w:asciiTheme="minorEastAsia" w:hAnsiTheme="minorEastAsia"/>
          <w:b/>
          <w:bCs/>
          <w:sz w:val="24"/>
        </w:rPr>
      </w:pPr>
      <w:r>
        <w:rPr>
          <w:rFonts w:hint="eastAsia" w:cs="宋体" w:asciiTheme="minorEastAsia" w:hAnsiTheme="minorEastAsia"/>
          <w:b/>
          <w:bCs/>
          <w:sz w:val="24"/>
        </w:rPr>
        <w:t>评分内容及标准</w:t>
      </w:r>
    </w:p>
    <w:tbl>
      <w:tblPr>
        <w:tblStyle w:val="11"/>
        <w:tblW w:w="107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
        <w:gridCol w:w="798"/>
        <w:gridCol w:w="1906"/>
        <w:gridCol w:w="6087"/>
        <w:gridCol w:w="1354"/>
      </w:tblGrid>
      <w:tr w14:paraId="03631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412" w:type="dxa"/>
            <w:gridSpan w:val="2"/>
            <w:shd w:val="clear" w:color="auto" w:fill="D8D8D8" w:themeFill="background1" w:themeFillShade="D9"/>
            <w:vAlign w:val="center"/>
          </w:tcPr>
          <w:p w14:paraId="18BF172F">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条款号</w:t>
            </w:r>
          </w:p>
        </w:tc>
        <w:tc>
          <w:tcPr>
            <w:tcW w:w="1906" w:type="dxa"/>
            <w:shd w:val="clear" w:color="auto" w:fill="D8D8D8" w:themeFill="background1" w:themeFillShade="D9"/>
            <w:vAlign w:val="center"/>
          </w:tcPr>
          <w:p w14:paraId="43744FA2">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评审因素</w:t>
            </w:r>
          </w:p>
        </w:tc>
        <w:tc>
          <w:tcPr>
            <w:tcW w:w="6087" w:type="dxa"/>
            <w:shd w:val="clear" w:color="auto" w:fill="D8D8D8" w:themeFill="background1" w:themeFillShade="D9"/>
            <w:vAlign w:val="center"/>
          </w:tcPr>
          <w:p w14:paraId="02E5E0D6">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评审标准</w:t>
            </w:r>
          </w:p>
        </w:tc>
        <w:tc>
          <w:tcPr>
            <w:tcW w:w="1354" w:type="dxa"/>
            <w:shd w:val="clear" w:color="auto" w:fill="D8D8D8" w:themeFill="background1" w:themeFillShade="D9"/>
            <w:vAlign w:val="center"/>
          </w:tcPr>
          <w:p w14:paraId="601F4C84">
            <w:pPr>
              <w:spacing w:line="360" w:lineRule="auto"/>
              <w:jc w:val="center"/>
              <w:rPr>
                <w:rFonts w:cs="宋体" w:asciiTheme="minorEastAsia" w:hAnsiTheme="minorEastAsia"/>
                <w:sz w:val="24"/>
              </w:rPr>
            </w:pPr>
            <w:r>
              <w:rPr>
                <w:rFonts w:hint="eastAsia" w:cs="宋体" w:asciiTheme="minorEastAsia" w:hAnsiTheme="minorEastAsia"/>
                <w:sz w:val="24"/>
                <w:szCs w:val="24"/>
              </w:rPr>
              <w:t>评审类型</w:t>
            </w:r>
          </w:p>
        </w:tc>
      </w:tr>
      <w:tr w14:paraId="0882D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614" w:type="dxa"/>
            <w:vAlign w:val="center"/>
          </w:tcPr>
          <w:p w14:paraId="72347ECA">
            <w:pPr>
              <w:adjustRightInd w:val="0"/>
              <w:snapToGrid w:val="0"/>
              <w:jc w:val="center"/>
              <w:rPr>
                <w:rFonts w:cs="宋体" w:asciiTheme="minorEastAsia" w:hAnsiTheme="minorEastAsia"/>
                <w:kern w:val="0"/>
                <w:sz w:val="24"/>
                <w:szCs w:val="24"/>
              </w:rPr>
            </w:pPr>
            <w:r>
              <w:rPr>
                <w:rFonts w:hint="eastAsia" w:cs="宋体" w:asciiTheme="minorEastAsia" w:hAnsiTheme="minorEastAsia"/>
                <w:kern w:val="0"/>
                <w:sz w:val="24"/>
                <w:szCs w:val="24"/>
              </w:rPr>
              <w:t>1</w:t>
            </w:r>
          </w:p>
        </w:tc>
        <w:tc>
          <w:tcPr>
            <w:tcW w:w="798" w:type="dxa"/>
            <w:vAlign w:val="center"/>
          </w:tcPr>
          <w:p w14:paraId="544F9C44">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评标</w:t>
            </w:r>
          </w:p>
          <w:p w14:paraId="676CCBA8">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办法</w:t>
            </w:r>
          </w:p>
        </w:tc>
        <w:tc>
          <w:tcPr>
            <w:tcW w:w="1906" w:type="dxa"/>
            <w:vAlign w:val="center"/>
          </w:tcPr>
          <w:p w14:paraId="5241E13C">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中标候选人排序方法</w:t>
            </w:r>
          </w:p>
        </w:tc>
        <w:tc>
          <w:tcPr>
            <w:tcW w:w="6087" w:type="dxa"/>
            <w:vAlign w:val="center"/>
          </w:tcPr>
          <w:p w14:paraId="2CA2DC64">
            <w:pPr>
              <w:adjustRightInd w:val="0"/>
              <w:snapToGrid w:val="0"/>
              <w:rPr>
                <w:rFonts w:cs="宋体" w:asciiTheme="minorEastAsia" w:hAnsiTheme="minorEastAsia"/>
                <w:sz w:val="24"/>
                <w:szCs w:val="24"/>
              </w:rPr>
            </w:pPr>
            <w:r>
              <w:rPr>
                <w:rFonts w:hint="eastAsia" w:cs="宋体" w:asciiTheme="minorEastAsia" w:hAnsiTheme="minorEastAsia"/>
                <w:sz w:val="24"/>
                <w:szCs w:val="24"/>
              </w:rPr>
              <w:t>本项目评标办法为综合评分法，评标委员会推荐中标候选人方法按照投标文件满足招标文件全部实质性要求，且按照评审因素的量化指标评审得分最高的投标人为中标候选人。</w:t>
            </w:r>
          </w:p>
        </w:tc>
        <w:tc>
          <w:tcPr>
            <w:tcW w:w="1354" w:type="dxa"/>
            <w:vAlign w:val="center"/>
          </w:tcPr>
          <w:p w14:paraId="2B951328">
            <w:pPr>
              <w:spacing w:line="360" w:lineRule="auto"/>
              <w:jc w:val="center"/>
              <w:rPr>
                <w:rFonts w:cs="宋体" w:asciiTheme="minorEastAsia" w:hAnsiTheme="minorEastAsia"/>
                <w:sz w:val="24"/>
              </w:rPr>
            </w:pPr>
            <w:r>
              <w:rPr>
                <w:rFonts w:hint="eastAsia" w:cs="宋体" w:asciiTheme="minorEastAsia" w:hAnsiTheme="minorEastAsia"/>
                <w:sz w:val="24"/>
              </w:rPr>
              <w:t>/</w:t>
            </w:r>
          </w:p>
        </w:tc>
      </w:tr>
      <w:tr w14:paraId="3D373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614" w:type="dxa"/>
            <w:vMerge w:val="restart"/>
            <w:vAlign w:val="center"/>
          </w:tcPr>
          <w:p w14:paraId="78B34166">
            <w:pPr>
              <w:adjustRightInd w:val="0"/>
              <w:snapToGrid w:val="0"/>
              <w:jc w:val="center"/>
              <w:rPr>
                <w:rFonts w:cs="宋体" w:asciiTheme="minorEastAsia" w:hAnsiTheme="minorEastAsia"/>
                <w:kern w:val="0"/>
                <w:sz w:val="24"/>
                <w:szCs w:val="24"/>
              </w:rPr>
            </w:pPr>
            <w:r>
              <w:rPr>
                <w:rFonts w:hint="eastAsia" w:cs="宋体" w:asciiTheme="minorEastAsia" w:hAnsiTheme="minorEastAsia"/>
                <w:kern w:val="0"/>
                <w:sz w:val="24"/>
                <w:szCs w:val="24"/>
              </w:rPr>
              <w:t>2.1</w:t>
            </w:r>
          </w:p>
        </w:tc>
        <w:tc>
          <w:tcPr>
            <w:tcW w:w="798" w:type="dxa"/>
            <w:vMerge w:val="restart"/>
            <w:vAlign w:val="center"/>
          </w:tcPr>
          <w:p w14:paraId="62DB3C31">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符合</w:t>
            </w:r>
          </w:p>
          <w:p w14:paraId="4FAF81F8">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性审</w:t>
            </w:r>
          </w:p>
          <w:p w14:paraId="1BA0F38A">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查</w:t>
            </w:r>
          </w:p>
        </w:tc>
        <w:tc>
          <w:tcPr>
            <w:tcW w:w="1906" w:type="dxa"/>
            <w:vAlign w:val="center"/>
          </w:tcPr>
          <w:p w14:paraId="250E17E2">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w:t>
            </w:r>
          </w:p>
        </w:tc>
        <w:tc>
          <w:tcPr>
            <w:tcW w:w="6087" w:type="dxa"/>
            <w:vAlign w:val="center"/>
          </w:tcPr>
          <w:p w14:paraId="46040C34">
            <w:pPr>
              <w:adjustRightInd w:val="0"/>
              <w:snapToGrid w:val="0"/>
              <w:rPr>
                <w:rFonts w:cs="宋体" w:asciiTheme="minorEastAsia" w:hAnsiTheme="minorEastAsia"/>
                <w:sz w:val="24"/>
                <w:szCs w:val="24"/>
              </w:rPr>
            </w:pPr>
            <w:r>
              <w:rPr>
                <w:rFonts w:hint="eastAsia" w:cs="宋体" w:asciiTheme="minorEastAsia" w:hAnsiTheme="minorEastAsia"/>
                <w:sz w:val="24"/>
                <w:szCs w:val="24"/>
              </w:rPr>
              <w:t>投标文件（逐页盖章）未按招标文件要求签署、盖章的；</w:t>
            </w:r>
          </w:p>
        </w:tc>
        <w:tc>
          <w:tcPr>
            <w:tcW w:w="1354" w:type="dxa"/>
            <w:vAlign w:val="center"/>
          </w:tcPr>
          <w:p w14:paraId="4A31F1C3">
            <w:pPr>
              <w:spacing w:line="360" w:lineRule="auto"/>
              <w:jc w:val="center"/>
              <w:rPr>
                <w:rFonts w:cs="宋体" w:asciiTheme="minorEastAsia" w:hAnsiTheme="minorEastAsia"/>
                <w:sz w:val="24"/>
                <w:szCs w:val="24"/>
              </w:rPr>
            </w:pPr>
            <w:r>
              <w:rPr>
                <w:rFonts w:hint="eastAsia" w:cs="宋体" w:asciiTheme="minorEastAsia" w:hAnsiTheme="minorEastAsia"/>
                <w:sz w:val="24"/>
                <w:szCs w:val="24"/>
              </w:rPr>
              <w:t>重要指标</w:t>
            </w:r>
          </w:p>
        </w:tc>
      </w:tr>
      <w:tr w14:paraId="3D838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614" w:type="dxa"/>
            <w:vMerge w:val="continue"/>
            <w:vAlign w:val="center"/>
          </w:tcPr>
          <w:p w14:paraId="5769F3C2">
            <w:pPr>
              <w:adjustRightInd w:val="0"/>
              <w:snapToGrid w:val="0"/>
              <w:jc w:val="center"/>
              <w:rPr>
                <w:rFonts w:cs="宋体" w:asciiTheme="minorEastAsia" w:hAnsiTheme="minorEastAsia"/>
                <w:kern w:val="0"/>
                <w:sz w:val="24"/>
                <w:szCs w:val="24"/>
              </w:rPr>
            </w:pPr>
          </w:p>
        </w:tc>
        <w:tc>
          <w:tcPr>
            <w:tcW w:w="798" w:type="dxa"/>
            <w:vMerge w:val="continue"/>
            <w:vAlign w:val="center"/>
          </w:tcPr>
          <w:p w14:paraId="256E55E5">
            <w:pPr>
              <w:adjustRightInd w:val="0"/>
              <w:snapToGrid w:val="0"/>
              <w:jc w:val="center"/>
              <w:rPr>
                <w:rFonts w:cs="宋体" w:asciiTheme="minorEastAsia" w:hAnsiTheme="minorEastAsia"/>
                <w:sz w:val="24"/>
                <w:szCs w:val="24"/>
              </w:rPr>
            </w:pPr>
          </w:p>
        </w:tc>
        <w:tc>
          <w:tcPr>
            <w:tcW w:w="1906" w:type="dxa"/>
            <w:vAlign w:val="center"/>
          </w:tcPr>
          <w:p w14:paraId="20914DF9">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w:t>
            </w:r>
          </w:p>
        </w:tc>
        <w:tc>
          <w:tcPr>
            <w:tcW w:w="6087" w:type="dxa"/>
            <w:vAlign w:val="center"/>
          </w:tcPr>
          <w:p w14:paraId="6E5DFA6F">
            <w:pPr>
              <w:adjustRightInd w:val="0"/>
              <w:snapToGrid w:val="0"/>
              <w:rPr>
                <w:rFonts w:cs="宋体" w:asciiTheme="minorEastAsia" w:hAnsiTheme="minorEastAsia"/>
                <w:sz w:val="24"/>
                <w:szCs w:val="24"/>
              </w:rPr>
            </w:pPr>
            <w:r>
              <w:rPr>
                <w:rFonts w:hint="eastAsia" w:cs="宋体" w:asciiTheme="minorEastAsia" w:hAnsiTheme="minorEastAsia"/>
                <w:sz w:val="24"/>
                <w:szCs w:val="24"/>
              </w:rPr>
              <w:t>投标文件内容真实，未提供虚假证明文件</w:t>
            </w:r>
            <w:r>
              <w:rPr>
                <w:rFonts w:hint="eastAsia" w:cs="宋体" w:asciiTheme="minorEastAsia" w:hAnsiTheme="minorEastAsia"/>
                <w:sz w:val="24"/>
                <w:szCs w:val="24"/>
                <w:lang w:eastAsia="zh-CN"/>
              </w:rPr>
              <w:t>、</w:t>
            </w:r>
            <w:r>
              <w:rPr>
                <w:rFonts w:hint="eastAsia" w:cs="宋体" w:asciiTheme="minorEastAsia" w:hAnsiTheme="minorEastAsia"/>
                <w:sz w:val="24"/>
                <w:szCs w:val="24"/>
              </w:rPr>
              <w:t>虚假技术参数的；</w:t>
            </w:r>
          </w:p>
        </w:tc>
        <w:tc>
          <w:tcPr>
            <w:tcW w:w="1354" w:type="dxa"/>
            <w:vAlign w:val="center"/>
          </w:tcPr>
          <w:p w14:paraId="2407A397">
            <w:pPr>
              <w:spacing w:line="360" w:lineRule="auto"/>
              <w:jc w:val="center"/>
              <w:rPr>
                <w:rFonts w:cs="宋体" w:asciiTheme="minorEastAsia" w:hAnsiTheme="minorEastAsia"/>
                <w:sz w:val="24"/>
                <w:szCs w:val="24"/>
              </w:rPr>
            </w:pPr>
            <w:r>
              <w:rPr>
                <w:rFonts w:hint="eastAsia" w:cs="宋体" w:asciiTheme="minorEastAsia" w:hAnsiTheme="minorEastAsia"/>
                <w:sz w:val="24"/>
                <w:szCs w:val="24"/>
              </w:rPr>
              <w:t>重要指标</w:t>
            </w:r>
          </w:p>
        </w:tc>
      </w:tr>
      <w:tr w14:paraId="52864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614" w:type="dxa"/>
            <w:vMerge w:val="continue"/>
            <w:vAlign w:val="center"/>
          </w:tcPr>
          <w:p w14:paraId="060811F8">
            <w:pPr>
              <w:adjustRightInd w:val="0"/>
              <w:snapToGrid w:val="0"/>
              <w:jc w:val="center"/>
              <w:rPr>
                <w:rFonts w:cs="宋体" w:asciiTheme="minorEastAsia" w:hAnsiTheme="minorEastAsia"/>
                <w:kern w:val="0"/>
                <w:sz w:val="24"/>
                <w:szCs w:val="24"/>
              </w:rPr>
            </w:pPr>
          </w:p>
        </w:tc>
        <w:tc>
          <w:tcPr>
            <w:tcW w:w="798" w:type="dxa"/>
            <w:vMerge w:val="continue"/>
            <w:vAlign w:val="center"/>
          </w:tcPr>
          <w:p w14:paraId="25E60463">
            <w:pPr>
              <w:adjustRightInd w:val="0"/>
              <w:snapToGrid w:val="0"/>
              <w:jc w:val="center"/>
              <w:rPr>
                <w:rFonts w:cs="宋体" w:asciiTheme="minorEastAsia" w:hAnsiTheme="minorEastAsia"/>
                <w:sz w:val="24"/>
                <w:szCs w:val="24"/>
              </w:rPr>
            </w:pPr>
          </w:p>
        </w:tc>
        <w:tc>
          <w:tcPr>
            <w:tcW w:w="1906" w:type="dxa"/>
            <w:vAlign w:val="center"/>
          </w:tcPr>
          <w:p w14:paraId="1E669C22">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w:t>
            </w:r>
          </w:p>
        </w:tc>
        <w:tc>
          <w:tcPr>
            <w:tcW w:w="6087" w:type="dxa"/>
            <w:vAlign w:val="center"/>
          </w:tcPr>
          <w:p w14:paraId="2C0AEDBE">
            <w:pPr>
              <w:adjustRightInd w:val="0"/>
              <w:snapToGrid w:val="0"/>
              <w:rPr>
                <w:rFonts w:cs="宋体" w:asciiTheme="minorEastAsia" w:hAnsiTheme="minorEastAsia"/>
                <w:sz w:val="24"/>
                <w:szCs w:val="24"/>
              </w:rPr>
            </w:pPr>
            <w:r>
              <w:rPr>
                <w:rFonts w:hint="eastAsia" w:cs="宋体" w:asciiTheme="minorEastAsia" w:hAnsiTheme="minorEastAsia"/>
                <w:sz w:val="24"/>
                <w:szCs w:val="24"/>
              </w:rPr>
              <w:t>报价超过招标文件中规定的预算金额或最高限价的；</w:t>
            </w:r>
          </w:p>
        </w:tc>
        <w:tc>
          <w:tcPr>
            <w:tcW w:w="1354" w:type="dxa"/>
            <w:vAlign w:val="center"/>
          </w:tcPr>
          <w:p w14:paraId="4AC77C13">
            <w:pPr>
              <w:spacing w:line="360" w:lineRule="auto"/>
              <w:jc w:val="center"/>
              <w:rPr>
                <w:rFonts w:cs="宋体" w:asciiTheme="minorEastAsia" w:hAnsiTheme="minorEastAsia"/>
                <w:sz w:val="24"/>
                <w:szCs w:val="24"/>
              </w:rPr>
            </w:pPr>
            <w:r>
              <w:rPr>
                <w:rFonts w:hint="eastAsia" w:cs="宋体" w:asciiTheme="minorEastAsia" w:hAnsiTheme="minorEastAsia"/>
                <w:sz w:val="24"/>
                <w:szCs w:val="24"/>
              </w:rPr>
              <w:t>重要指标</w:t>
            </w:r>
          </w:p>
        </w:tc>
      </w:tr>
      <w:tr w14:paraId="726C5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614" w:type="dxa"/>
            <w:vMerge w:val="continue"/>
            <w:vAlign w:val="center"/>
          </w:tcPr>
          <w:p w14:paraId="57A4E32C">
            <w:pPr>
              <w:adjustRightInd w:val="0"/>
              <w:snapToGrid w:val="0"/>
              <w:jc w:val="center"/>
              <w:rPr>
                <w:rFonts w:cs="宋体" w:asciiTheme="minorEastAsia" w:hAnsiTheme="minorEastAsia"/>
                <w:kern w:val="0"/>
                <w:sz w:val="24"/>
                <w:szCs w:val="24"/>
              </w:rPr>
            </w:pPr>
          </w:p>
        </w:tc>
        <w:tc>
          <w:tcPr>
            <w:tcW w:w="798" w:type="dxa"/>
            <w:vMerge w:val="continue"/>
            <w:vAlign w:val="center"/>
          </w:tcPr>
          <w:p w14:paraId="269EF023">
            <w:pPr>
              <w:adjustRightInd w:val="0"/>
              <w:snapToGrid w:val="0"/>
              <w:jc w:val="center"/>
              <w:rPr>
                <w:rFonts w:cs="宋体" w:asciiTheme="minorEastAsia" w:hAnsiTheme="minorEastAsia"/>
                <w:sz w:val="24"/>
                <w:szCs w:val="24"/>
              </w:rPr>
            </w:pPr>
          </w:p>
        </w:tc>
        <w:tc>
          <w:tcPr>
            <w:tcW w:w="1906" w:type="dxa"/>
            <w:vAlign w:val="center"/>
          </w:tcPr>
          <w:p w14:paraId="56E3102A">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w:t>
            </w:r>
          </w:p>
        </w:tc>
        <w:tc>
          <w:tcPr>
            <w:tcW w:w="6087" w:type="dxa"/>
            <w:vAlign w:val="center"/>
          </w:tcPr>
          <w:p w14:paraId="27F0861F">
            <w:pPr>
              <w:adjustRightInd w:val="0"/>
              <w:snapToGrid w:val="0"/>
              <w:rPr>
                <w:rFonts w:cs="宋体" w:asciiTheme="minorEastAsia" w:hAnsiTheme="minorEastAsia"/>
                <w:sz w:val="24"/>
                <w:szCs w:val="24"/>
              </w:rPr>
            </w:pPr>
            <w:r>
              <w:rPr>
                <w:rFonts w:hint="eastAsia" w:cs="宋体" w:asciiTheme="minorEastAsia" w:hAnsiTheme="minorEastAsia"/>
                <w:sz w:val="24"/>
                <w:szCs w:val="24"/>
              </w:rPr>
              <w:t>投标文件含有采购人不能接受的附加条件的；</w:t>
            </w:r>
          </w:p>
        </w:tc>
        <w:tc>
          <w:tcPr>
            <w:tcW w:w="1354" w:type="dxa"/>
            <w:vAlign w:val="center"/>
          </w:tcPr>
          <w:p w14:paraId="0E7E32AD">
            <w:pPr>
              <w:spacing w:line="360" w:lineRule="auto"/>
              <w:jc w:val="center"/>
              <w:rPr>
                <w:rFonts w:cs="宋体" w:asciiTheme="minorEastAsia" w:hAnsiTheme="minorEastAsia"/>
                <w:sz w:val="24"/>
                <w:szCs w:val="24"/>
              </w:rPr>
            </w:pPr>
            <w:r>
              <w:rPr>
                <w:rFonts w:hint="eastAsia" w:cs="宋体" w:asciiTheme="minorEastAsia" w:hAnsiTheme="minorEastAsia"/>
                <w:sz w:val="24"/>
                <w:szCs w:val="24"/>
              </w:rPr>
              <w:t>重要指标</w:t>
            </w:r>
          </w:p>
        </w:tc>
      </w:tr>
      <w:tr w14:paraId="71530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614" w:type="dxa"/>
            <w:vMerge w:val="continue"/>
            <w:vAlign w:val="center"/>
          </w:tcPr>
          <w:p w14:paraId="140CDBF2">
            <w:pPr>
              <w:adjustRightInd w:val="0"/>
              <w:snapToGrid w:val="0"/>
              <w:jc w:val="center"/>
              <w:rPr>
                <w:rFonts w:cs="宋体" w:asciiTheme="minorEastAsia" w:hAnsiTheme="minorEastAsia"/>
                <w:kern w:val="0"/>
                <w:sz w:val="24"/>
                <w:szCs w:val="24"/>
              </w:rPr>
            </w:pPr>
          </w:p>
        </w:tc>
        <w:tc>
          <w:tcPr>
            <w:tcW w:w="798" w:type="dxa"/>
            <w:vMerge w:val="continue"/>
            <w:vAlign w:val="center"/>
          </w:tcPr>
          <w:p w14:paraId="637F2AB7">
            <w:pPr>
              <w:adjustRightInd w:val="0"/>
              <w:snapToGrid w:val="0"/>
              <w:jc w:val="center"/>
              <w:rPr>
                <w:rFonts w:cs="宋体" w:asciiTheme="minorEastAsia" w:hAnsiTheme="minorEastAsia"/>
                <w:sz w:val="24"/>
                <w:szCs w:val="24"/>
              </w:rPr>
            </w:pPr>
          </w:p>
        </w:tc>
        <w:tc>
          <w:tcPr>
            <w:tcW w:w="1906" w:type="dxa"/>
            <w:vAlign w:val="center"/>
          </w:tcPr>
          <w:p w14:paraId="14BBF83E">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w:t>
            </w:r>
          </w:p>
        </w:tc>
        <w:tc>
          <w:tcPr>
            <w:tcW w:w="6087" w:type="dxa"/>
            <w:vAlign w:val="center"/>
          </w:tcPr>
          <w:p w14:paraId="5FCDC6B4">
            <w:pPr>
              <w:adjustRightInd w:val="0"/>
              <w:snapToGrid w:val="0"/>
              <w:rPr>
                <w:rFonts w:cs="宋体" w:asciiTheme="minorEastAsia" w:hAnsiTheme="minorEastAsia"/>
                <w:sz w:val="24"/>
                <w:szCs w:val="24"/>
              </w:rPr>
            </w:pPr>
            <w:r>
              <w:rPr>
                <w:rFonts w:hint="eastAsia" w:cs="宋体" w:asciiTheme="minorEastAsia" w:hAnsiTheme="minorEastAsia"/>
                <w:sz w:val="24"/>
                <w:szCs w:val="24"/>
              </w:rPr>
              <w:t>法律、法规和招标文件规定的其他无效情形；</w:t>
            </w:r>
          </w:p>
        </w:tc>
        <w:tc>
          <w:tcPr>
            <w:tcW w:w="1354" w:type="dxa"/>
            <w:vAlign w:val="center"/>
          </w:tcPr>
          <w:p w14:paraId="7F3D9E5C">
            <w:pPr>
              <w:spacing w:line="360" w:lineRule="auto"/>
              <w:jc w:val="center"/>
              <w:rPr>
                <w:rFonts w:cs="宋体" w:asciiTheme="minorEastAsia" w:hAnsiTheme="minorEastAsia"/>
                <w:sz w:val="24"/>
                <w:szCs w:val="24"/>
              </w:rPr>
            </w:pPr>
            <w:r>
              <w:rPr>
                <w:rFonts w:hint="eastAsia" w:cs="宋体" w:asciiTheme="minorEastAsia" w:hAnsiTheme="minorEastAsia"/>
                <w:sz w:val="24"/>
                <w:szCs w:val="24"/>
              </w:rPr>
              <w:t>重要指标</w:t>
            </w:r>
          </w:p>
        </w:tc>
      </w:tr>
      <w:tr w14:paraId="12A9B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atLeast"/>
          <w:jc w:val="center"/>
        </w:trPr>
        <w:tc>
          <w:tcPr>
            <w:tcW w:w="1412" w:type="dxa"/>
            <w:gridSpan w:val="2"/>
            <w:vAlign w:val="center"/>
          </w:tcPr>
          <w:p w14:paraId="6E50DB15">
            <w:pPr>
              <w:adjustRightInd w:val="0"/>
              <w:snapToGrid w:val="0"/>
              <w:jc w:val="center"/>
              <w:rPr>
                <w:rFonts w:cs="宋体" w:asciiTheme="minorEastAsia" w:hAnsiTheme="minorEastAsia"/>
                <w:sz w:val="24"/>
                <w:szCs w:val="24"/>
              </w:rPr>
            </w:pPr>
            <w:r>
              <w:rPr>
                <w:rFonts w:hint="eastAsia" w:cs="宋体" w:asciiTheme="minorEastAsia" w:hAnsiTheme="minorEastAsia"/>
                <w:kern w:val="0"/>
                <w:sz w:val="24"/>
                <w:szCs w:val="24"/>
              </w:rPr>
              <w:t>2.2.1</w:t>
            </w:r>
          </w:p>
        </w:tc>
        <w:tc>
          <w:tcPr>
            <w:tcW w:w="1906" w:type="dxa"/>
            <w:vAlign w:val="center"/>
          </w:tcPr>
          <w:p w14:paraId="0DD4E8B0">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分值构成</w:t>
            </w:r>
          </w:p>
        </w:tc>
        <w:tc>
          <w:tcPr>
            <w:tcW w:w="6087" w:type="dxa"/>
            <w:vAlign w:val="center"/>
          </w:tcPr>
          <w:p w14:paraId="778240E3">
            <w:pPr>
              <w:adjustRightInd w:val="0"/>
              <w:snapToGrid w:val="0"/>
              <w:jc w:val="left"/>
              <w:rPr>
                <w:rFonts w:hint="eastAsia" w:cs="宋体" w:asciiTheme="minorEastAsia" w:hAnsiTheme="minorEastAsia"/>
                <w:color w:val="auto"/>
                <w:sz w:val="24"/>
                <w:szCs w:val="24"/>
              </w:rPr>
            </w:pPr>
            <w:r>
              <w:rPr>
                <w:rFonts w:hint="eastAsia" w:cs="宋体" w:asciiTheme="minorEastAsia" w:hAnsiTheme="minorEastAsia"/>
                <w:color w:val="auto"/>
                <w:sz w:val="24"/>
                <w:szCs w:val="24"/>
              </w:rPr>
              <w:t>商务部分：</w:t>
            </w:r>
            <w:r>
              <w:rPr>
                <w:rFonts w:hint="eastAsia" w:cs="宋体" w:asciiTheme="minorEastAsia" w:hAnsiTheme="minorEastAsia"/>
                <w:color w:val="auto"/>
                <w:sz w:val="24"/>
                <w:szCs w:val="24"/>
                <w:lang w:val="en-US" w:eastAsia="zh-CN"/>
              </w:rPr>
              <w:t>10</w:t>
            </w:r>
            <w:r>
              <w:rPr>
                <w:rFonts w:hint="eastAsia" w:cs="宋体" w:asciiTheme="minorEastAsia" w:hAnsiTheme="minorEastAsia"/>
                <w:color w:val="auto"/>
                <w:sz w:val="24"/>
                <w:szCs w:val="24"/>
              </w:rPr>
              <w:t>分</w:t>
            </w:r>
          </w:p>
          <w:p w14:paraId="5B368C36">
            <w:pPr>
              <w:adjustRightInd w:val="0"/>
              <w:snapToGrid w:val="0"/>
              <w:jc w:val="left"/>
              <w:rPr>
                <w:rFonts w:hint="eastAsia" w:cs="宋体" w:asciiTheme="minorEastAsia" w:hAnsiTheme="minorEastAsia"/>
                <w:color w:val="auto"/>
                <w:sz w:val="24"/>
                <w:szCs w:val="24"/>
              </w:rPr>
            </w:pPr>
            <w:r>
              <w:rPr>
                <w:rFonts w:hint="eastAsia" w:cs="宋体" w:asciiTheme="minorEastAsia" w:hAnsiTheme="minorEastAsia"/>
                <w:color w:val="auto"/>
                <w:sz w:val="24"/>
                <w:szCs w:val="24"/>
                <w:lang w:val="en-US" w:eastAsia="zh-CN"/>
              </w:rPr>
              <w:t>方案</w:t>
            </w:r>
            <w:r>
              <w:rPr>
                <w:rFonts w:hint="eastAsia" w:cs="宋体" w:asciiTheme="minorEastAsia" w:hAnsiTheme="minorEastAsia"/>
                <w:color w:val="auto"/>
                <w:sz w:val="24"/>
                <w:szCs w:val="24"/>
              </w:rPr>
              <w:t>部分：</w:t>
            </w:r>
            <w:r>
              <w:rPr>
                <w:rFonts w:hint="eastAsia" w:cs="宋体" w:asciiTheme="minorEastAsia" w:hAnsiTheme="minorEastAsia"/>
                <w:color w:val="auto"/>
                <w:sz w:val="24"/>
                <w:szCs w:val="24"/>
                <w:lang w:val="en-US" w:eastAsia="zh-CN"/>
              </w:rPr>
              <w:t>55</w:t>
            </w:r>
            <w:r>
              <w:rPr>
                <w:rFonts w:hint="eastAsia" w:cs="宋体" w:asciiTheme="minorEastAsia" w:hAnsiTheme="minorEastAsia"/>
                <w:color w:val="auto"/>
                <w:sz w:val="24"/>
                <w:szCs w:val="24"/>
              </w:rPr>
              <w:t>分</w:t>
            </w:r>
          </w:p>
          <w:p w14:paraId="701B3ABA">
            <w:pPr>
              <w:adjustRightInd w:val="0"/>
              <w:snapToGrid w:val="0"/>
              <w:jc w:val="left"/>
              <w:rPr>
                <w:rFonts w:hint="eastAsia"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团队部分：5分</w:t>
            </w:r>
          </w:p>
          <w:p w14:paraId="3DD36ADA">
            <w:pPr>
              <w:adjustRightInd w:val="0"/>
              <w:snapToGrid w:val="0"/>
              <w:jc w:val="left"/>
              <w:rPr>
                <w:rFonts w:hint="eastAsia"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技术部分：20分</w:t>
            </w:r>
          </w:p>
          <w:p w14:paraId="175A1DAC">
            <w:pPr>
              <w:adjustRightInd w:val="0"/>
              <w:snapToGrid w:val="0"/>
              <w:jc w:val="left"/>
              <w:rPr>
                <w:rFonts w:hint="default" w:cs="宋体" w:asciiTheme="minorEastAsia" w:hAnsiTheme="minorEastAsia" w:eastAsiaTheme="minorEastAsia"/>
                <w:sz w:val="24"/>
                <w:szCs w:val="24"/>
                <w:lang w:val="en-US" w:eastAsia="zh-CN"/>
              </w:rPr>
            </w:pPr>
            <w:r>
              <w:rPr>
                <w:rFonts w:hint="eastAsia" w:cs="宋体" w:asciiTheme="minorEastAsia" w:hAnsiTheme="minorEastAsia"/>
                <w:color w:val="auto"/>
                <w:sz w:val="24"/>
                <w:szCs w:val="24"/>
                <w:lang w:val="en-US" w:eastAsia="zh-CN"/>
              </w:rPr>
              <w:t>投标报价：10分</w:t>
            </w:r>
          </w:p>
        </w:tc>
        <w:tc>
          <w:tcPr>
            <w:tcW w:w="1354" w:type="dxa"/>
            <w:vAlign w:val="center"/>
          </w:tcPr>
          <w:p w14:paraId="3FC83995">
            <w:pPr>
              <w:spacing w:line="360" w:lineRule="auto"/>
              <w:ind w:left="600" w:hanging="600" w:hangingChars="250"/>
              <w:jc w:val="center"/>
              <w:rPr>
                <w:rFonts w:hint="eastAsia" w:cs="宋体" w:asciiTheme="minorEastAsia" w:hAnsiTheme="minorEastAsia"/>
                <w:sz w:val="24"/>
              </w:rPr>
            </w:pPr>
            <w:r>
              <w:rPr>
                <w:rFonts w:hint="eastAsia" w:cs="宋体" w:asciiTheme="minorEastAsia" w:hAnsiTheme="minorEastAsia"/>
                <w:sz w:val="24"/>
              </w:rPr>
              <w:t>总分：</w:t>
            </w:r>
          </w:p>
          <w:p w14:paraId="68358079">
            <w:pPr>
              <w:spacing w:line="360" w:lineRule="auto"/>
              <w:ind w:left="600" w:hanging="600" w:hangingChars="250"/>
              <w:jc w:val="center"/>
              <w:rPr>
                <w:rFonts w:cs="宋体" w:asciiTheme="minorEastAsia" w:hAnsiTheme="minorEastAsia"/>
                <w:sz w:val="24"/>
              </w:rPr>
            </w:pPr>
            <w:r>
              <w:rPr>
                <w:rFonts w:hint="eastAsia" w:cs="宋体" w:asciiTheme="minorEastAsia" w:hAnsiTheme="minorEastAsia"/>
                <w:sz w:val="24"/>
              </w:rPr>
              <w:t>100分</w:t>
            </w:r>
          </w:p>
        </w:tc>
      </w:tr>
    </w:tbl>
    <w:p w14:paraId="03E9E530">
      <w:pPr>
        <w:spacing w:line="360" w:lineRule="auto"/>
        <w:ind w:firstLine="424" w:firstLineChars="177"/>
        <w:jc w:val="left"/>
        <w:rPr>
          <w:rFonts w:asciiTheme="minorEastAsia" w:hAnsiTheme="minorEastAsia"/>
          <w:sz w:val="24"/>
          <w:szCs w:val="24"/>
        </w:rPr>
      </w:pPr>
    </w:p>
    <w:tbl>
      <w:tblPr>
        <w:tblStyle w:val="11"/>
        <w:tblW w:w="107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907"/>
        <w:gridCol w:w="6086"/>
        <w:gridCol w:w="1354"/>
      </w:tblGrid>
      <w:tr w14:paraId="46ADA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412" w:type="dxa"/>
            <w:shd w:val="clear" w:color="auto" w:fill="D8D8D8" w:themeFill="background1" w:themeFillShade="D9"/>
            <w:vAlign w:val="center"/>
          </w:tcPr>
          <w:p w14:paraId="53FA8098">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条款号</w:t>
            </w:r>
          </w:p>
        </w:tc>
        <w:tc>
          <w:tcPr>
            <w:tcW w:w="1907" w:type="dxa"/>
            <w:shd w:val="clear" w:color="auto" w:fill="D8D8D8" w:themeFill="background1" w:themeFillShade="D9"/>
            <w:vAlign w:val="center"/>
          </w:tcPr>
          <w:p w14:paraId="5EB4EBAF">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类别</w:t>
            </w:r>
          </w:p>
        </w:tc>
        <w:tc>
          <w:tcPr>
            <w:tcW w:w="6086" w:type="dxa"/>
            <w:shd w:val="clear" w:color="auto" w:fill="D8D8D8" w:themeFill="background1" w:themeFillShade="D9"/>
            <w:vAlign w:val="center"/>
          </w:tcPr>
          <w:p w14:paraId="3C2A5622">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评分标准</w:t>
            </w:r>
          </w:p>
        </w:tc>
        <w:tc>
          <w:tcPr>
            <w:tcW w:w="1354" w:type="dxa"/>
            <w:shd w:val="clear" w:color="auto" w:fill="D8D8D8" w:themeFill="background1" w:themeFillShade="D9"/>
            <w:vAlign w:val="center"/>
          </w:tcPr>
          <w:p w14:paraId="24C13F57">
            <w:pPr>
              <w:spacing w:line="360" w:lineRule="auto"/>
              <w:jc w:val="center"/>
              <w:rPr>
                <w:rFonts w:cs="宋体" w:asciiTheme="minorEastAsia" w:hAnsiTheme="minorEastAsia"/>
                <w:sz w:val="24"/>
              </w:rPr>
            </w:pPr>
            <w:r>
              <w:rPr>
                <w:rFonts w:hint="eastAsia" w:cs="宋体" w:asciiTheme="minorEastAsia" w:hAnsiTheme="minorEastAsia"/>
                <w:sz w:val="24"/>
                <w:szCs w:val="24"/>
              </w:rPr>
              <w:t>分值</w:t>
            </w:r>
          </w:p>
        </w:tc>
      </w:tr>
      <w:tr w14:paraId="1B2A8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1412" w:type="dxa"/>
            <w:vMerge w:val="restart"/>
            <w:vAlign w:val="center"/>
          </w:tcPr>
          <w:p w14:paraId="2F2678AD">
            <w:pPr>
              <w:adjustRightInd w:val="0"/>
              <w:snapToGrid w:val="0"/>
              <w:jc w:val="center"/>
              <w:rPr>
                <w:rFonts w:hint="eastAsia" w:cs="宋体" w:asciiTheme="minorEastAsia" w:hAnsiTheme="minorEastAsia" w:eastAsiaTheme="minorEastAsia"/>
                <w:sz w:val="24"/>
                <w:szCs w:val="24"/>
                <w:lang w:eastAsia="zh-CN"/>
              </w:rPr>
            </w:pPr>
            <w:r>
              <w:rPr>
                <w:rFonts w:hint="eastAsia" w:cs="宋体" w:asciiTheme="minorEastAsia" w:hAnsiTheme="minorEastAsia"/>
                <w:kern w:val="0"/>
                <w:sz w:val="24"/>
                <w:szCs w:val="24"/>
              </w:rPr>
              <w:t>2.2.</w:t>
            </w:r>
            <w:r>
              <w:rPr>
                <w:rFonts w:hint="eastAsia" w:cs="宋体" w:asciiTheme="minorEastAsia" w:hAnsiTheme="minorEastAsia"/>
                <w:kern w:val="0"/>
                <w:sz w:val="24"/>
                <w:szCs w:val="24"/>
                <w:lang w:val="en-US" w:eastAsia="zh-CN"/>
              </w:rPr>
              <w:t>2</w:t>
            </w:r>
          </w:p>
        </w:tc>
        <w:tc>
          <w:tcPr>
            <w:tcW w:w="1907" w:type="dxa"/>
            <w:vMerge w:val="restart"/>
            <w:vAlign w:val="center"/>
          </w:tcPr>
          <w:p w14:paraId="53E1D0A1">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商务评分标准</w:t>
            </w:r>
          </w:p>
        </w:tc>
        <w:tc>
          <w:tcPr>
            <w:tcW w:w="6086" w:type="dxa"/>
            <w:vAlign w:val="center"/>
          </w:tcPr>
          <w:p w14:paraId="4139797D">
            <w:pPr>
              <w:numPr>
                <w:ilvl w:val="0"/>
                <w:numId w:val="0"/>
              </w:numPr>
              <w:adjustRightInd w:val="0"/>
              <w:snapToGrid w:val="0"/>
              <w:ind w:leftChars="0"/>
              <w:rPr>
                <w:rFonts w:hint="eastAsia" w:cs="宋体" w:asciiTheme="minorEastAsia" w:hAnsiTheme="minorEastAsia"/>
                <w:sz w:val="24"/>
                <w:szCs w:val="24"/>
              </w:rPr>
            </w:pPr>
            <w:r>
              <w:rPr>
                <w:rFonts w:hint="eastAsia" w:cs="宋体" w:asciiTheme="minorEastAsia" w:hAnsiTheme="minorEastAsia"/>
                <w:sz w:val="24"/>
                <w:szCs w:val="24"/>
              </w:rPr>
              <w:t>根据供应商提供的近年（2022年至投标截止日）承担过的类似项目业绩进行评价，有一项业绩得2分，最高得6分。</w:t>
            </w:r>
          </w:p>
          <w:p w14:paraId="31180CE5">
            <w:pPr>
              <w:numPr>
                <w:ilvl w:val="0"/>
                <w:numId w:val="0"/>
              </w:numPr>
              <w:adjustRightInd w:val="0"/>
              <w:snapToGrid w:val="0"/>
              <w:ind w:leftChars="0"/>
              <w:rPr>
                <w:rFonts w:hint="eastAsia" w:cs="宋体" w:asciiTheme="minorEastAsia" w:hAnsiTheme="minorEastAsia"/>
                <w:sz w:val="24"/>
                <w:szCs w:val="24"/>
              </w:rPr>
            </w:pPr>
            <w:r>
              <w:rPr>
                <w:rFonts w:hint="eastAsia" w:cs="宋体" w:asciiTheme="minorEastAsia" w:hAnsiTheme="minorEastAsia"/>
                <w:sz w:val="24"/>
                <w:szCs w:val="24"/>
              </w:rPr>
              <w:t>注：</w:t>
            </w:r>
          </w:p>
          <w:p w14:paraId="6D6CF6C7">
            <w:pPr>
              <w:numPr>
                <w:ilvl w:val="0"/>
                <w:numId w:val="0"/>
              </w:numPr>
              <w:adjustRightInd w:val="0"/>
              <w:snapToGrid w:val="0"/>
              <w:ind w:leftChars="0"/>
              <w:rPr>
                <w:rFonts w:hint="eastAsia" w:cs="宋体" w:asciiTheme="minorEastAsia" w:hAnsiTheme="minorEastAsia"/>
                <w:sz w:val="24"/>
                <w:szCs w:val="24"/>
              </w:rPr>
            </w:pPr>
            <w:r>
              <w:rPr>
                <w:rFonts w:hint="eastAsia" w:cs="宋体" w:asciiTheme="minorEastAsia" w:hAnsiTheme="minorEastAsia"/>
                <w:sz w:val="24"/>
                <w:szCs w:val="24"/>
              </w:rPr>
              <w:t>(1)类似项目业绩指与本项目类似的小红书KFS合作，并且其项目预算及成果相当或高于本项目，并带来成果。</w:t>
            </w:r>
          </w:p>
          <w:p w14:paraId="71314AC7">
            <w:pPr>
              <w:numPr>
                <w:ilvl w:val="0"/>
                <w:numId w:val="0"/>
              </w:numPr>
              <w:adjustRightInd w:val="0"/>
              <w:snapToGrid w:val="0"/>
              <w:ind w:leftChars="0"/>
              <w:rPr>
                <w:rFonts w:cs="宋体" w:asciiTheme="minorEastAsia" w:hAnsiTheme="minorEastAsia"/>
                <w:sz w:val="24"/>
                <w:szCs w:val="24"/>
              </w:rPr>
            </w:pPr>
            <w:r>
              <w:rPr>
                <w:rFonts w:hint="eastAsia" w:cs="宋体" w:asciiTheme="minorEastAsia" w:hAnsiTheme="minorEastAsia"/>
                <w:sz w:val="24"/>
                <w:szCs w:val="24"/>
              </w:rPr>
              <w:t>(2)供应商需提供采购合同(含商家首页、服务内容、金额数量页、签字盖章页)复印件，敏感信息可打码，并能提供对应项目的策划方案，否则业绩不予认可。</w:t>
            </w:r>
          </w:p>
        </w:tc>
        <w:tc>
          <w:tcPr>
            <w:tcW w:w="1354" w:type="dxa"/>
            <w:vAlign w:val="center"/>
          </w:tcPr>
          <w:p w14:paraId="607ED0BA">
            <w:pPr>
              <w:spacing w:line="360" w:lineRule="auto"/>
              <w:jc w:val="center"/>
              <w:rPr>
                <w:rFonts w:hint="default" w:cs="宋体" w:asciiTheme="minorEastAsia" w:hAnsiTheme="minorEastAsia" w:eastAsiaTheme="minorEastAsia"/>
                <w:sz w:val="24"/>
                <w:lang w:val="en-US" w:eastAsia="zh-CN"/>
              </w:rPr>
            </w:pPr>
            <w:r>
              <w:rPr>
                <w:rFonts w:hint="eastAsia" w:cs="宋体" w:asciiTheme="minorEastAsia" w:hAnsiTheme="minorEastAsia"/>
                <w:sz w:val="24"/>
                <w:lang w:val="en-US" w:eastAsia="zh-CN"/>
              </w:rPr>
              <w:t>6</w:t>
            </w:r>
          </w:p>
        </w:tc>
      </w:tr>
      <w:tr w14:paraId="6B4C3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1412" w:type="dxa"/>
            <w:vMerge w:val="continue"/>
            <w:vAlign w:val="center"/>
          </w:tcPr>
          <w:p w14:paraId="416D08B9">
            <w:pPr>
              <w:adjustRightInd w:val="0"/>
              <w:snapToGrid w:val="0"/>
              <w:jc w:val="center"/>
              <w:rPr>
                <w:rFonts w:cs="宋体" w:asciiTheme="minorEastAsia" w:hAnsiTheme="minorEastAsia"/>
                <w:sz w:val="24"/>
                <w:szCs w:val="24"/>
              </w:rPr>
            </w:pPr>
          </w:p>
        </w:tc>
        <w:tc>
          <w:tcPr>
            <w:tcW w:w="1907" w:type="dxa"/>
            <w:vMerge w:val="continue"/>
            <w:vAlign w:val="center"/>
          </w:tcPr>
          <w:p w14:paraId="322B9303">
            <w:pPr>
              <w:adjustRightInd w:val="0"/>
              <w:snapToGrid w:val="0"/>
              <w:jc w:val="center"/>
              <w:rPr>
                <w:rFonts w:cs="宋体" w:asciiTheme="minorEastAsia" w:hAnsiTheme="minorEastAsia"/>
                <w:sz w:val="24"/>
                <w:szCs w:val="24"/>
              </w:rPr>
            </w:pPr>
          </w:p>
        </w:tc>
        <w:tc>
          <w:tcPr>
            <w:tcW w:w="6086" w:type="dxa"/>
            <w:vAlign w:val="center"/>
          </w:tcPr>
          <w:p w14:paraId="73A7C809">
            <w:pPr>
              <w:numPr>
                <w:ilvl w:val="0"/>
                <w:numId w:val="0"/>
              </w:numPr>
              <w:adjustRightInd w:val="0"/>
              <w:snapToGrid w:val="0"/>
              <w:ind w:leftChars="0"/>
              <w:rPr>
                <w:rFonts w:hint="eastAsia" w:cs="宋体" w:asciiTheme="minorEastAsia" w:hAnsiTheme="minorEastAsia"/>
                <w:sz w:val="24"/>
                <w:szCs w:val="24"/>
              </w:rPr>
            </w:pPr>
            <w:r>
              <w:rPr>
                <w:rFonts w:hint="eastAsia" w:cs="宋体" w:asciiTheme="minorEastAsia" w:hAnsiTheme="minorEastAsia"/>
                <w:sz w:val="24"/>
                <w:szCs w:val="24"/>
              </w:rPr>
              <w:t>①　企业注册资本评分（0-2分）</w:t>
            </w:r>
          </w:p>
          <w:p w14:paraId="15701A48">
            <w:pPr>
              <w:numPr>
                <w:ilvl w:val="0"/>
                <w:numId w:val="0"/>
              </w:numPr>
              <w:adjustRightInd w:val="0"/>
              <w:snapToGrid w:val="0"/>
              <w:ind w:leftChars="0"/>
              <w:rPr>
                <w:rFonts w:hint="eastAsia" w:cs="宋体" w:asciiTheme="minorEastAsia" w:hAnsiTheme="minorEastAsia"/>
                <w:sz w:val="24"/>
                <w:szCs w:val="24"/>
              </w:rPr>
            </w:pPr>
            <w:r>
              <w:rPr>
                <w:rFonts w:hint="eastAsia" w:cs="宋体" w:asciiTheme="minorEastAsia" w:hAnsiTheme="minorEastAsia"/>
                <w:sz w:val="24"/>
                <w:szCs w:val="24"/>
              </w:rPr>
              <w:t>注册资本分级标准：≥500万（2分），100-500万（1分），＜100万（0分）</w:t>
            </w:r>
          </w:p>
          <w:p w14:paraId="5FC91154">
            <w:pPr>
              <w:numPr>
                <w:ilvl w:val="0"/>
                <w:numId w:val="0"/>
              </w:numPr>
              <w:adjustRightInd w:val="0"/>
              <w:snapToGrid w:val="0"/>
              <w:ind w:leftChars="0"/>
              <w:rPr>
                <w:rFonts w:hint="eastAsia" w:cs="宋体" w:asciiTheme="minorEastAsia" w:hAnsiTheme="minorEastAsia"/>
                <w:sz w:val="24"/>
                <w:szCs w:val="24"/>
              </w:rPr>
            </w:pPr>
            <w:r>
              <w:rPr>
                <w:rFonts w:hint="eastAsia" w:cs="宋体" w:asciiTheme="minorEastAsia" w:hAnsiTheme="minorEastAsia"/>
                <w:sz w:val="24"/>
                <w:szCs w:val="24"/>
              </w:rPr>
              <w:t>②　企业团队规模评分（0-2分）</w:t>
            </w:r>
          </w:p>
          <w:p w14:paraId="6B0A32F0">
            <w:pPr>
              <w:numPr>
                <w:ilvl w:val="0"/>
                <w:numId w:val="0"/>
              </w:numPr>
              <w:adjustRightInd w:val="0"/>
              <w:snapToGrid w:val="0"/>
              <w:ind w:leftChars="0"/>
              <w:rPr>
                <w:rFonts w:hint="default" w:cs="宋体" w:asciiTheme="minorEastAsia" w:hAnsiTheme="minorEastAsia"/>
                <w:sz w:val="24"/>
                <w:szCs w:val="24"/>
                <w:lang w:val="en-US"/>
              </w:rPr>
            </w:pPr>
            <w:r>
              <w:rPr>
                <w:rFonts w:hint="eastAsia" w:cs="宋体" w:asciiTheme="minorEastAsia" w:hAnsiTheme="minorEastAsia"/>
                <w:sz w:val="24"/>
                <w:szCs w:val="24"/>
              </w:rPr>
              <w:t>团队规模分级标准：≥20人（2分），10-20人（1分），＜10人（0分）</w:t>
            </w:r>
          </w:p>
        </w:tc>
        <w:tc>
          <w:tcPr>
            <w:tcW w:w="1354" w:type="dxa"/>
            <w:vAlign w:val="center"/>
          </w:tcPr>
          <w:p w14:paraId="233E2FD4">
            <w:pPr>
              <w:spacing w:line="360" w:lineRule="auto"/>
              <w:jc w:val="center"/>
              <w:rPr>
                <w:rFonts w:hint="default" w:cs="宋体" w:asciiTheme="minorEastAsia" w:hAnsiTheme="minorEastAsia" w:eastAsiaTheme="minorEastAsia"/>
                <w:sz w:val="24"/>
                <w:szCs w:val="24"/>
                <w:lang w:val="en-US" w:eastAsia="zh-CN"/>
              </w:rPr>
            </w:pPr>
            <w:r>
              <w:rPr>
                <w:rFonts w:hint="eastAsia" w:cs="宋体" w:asciiTheme="minorEastAsia" w:hAnsiTheme="minorEastAsia"/>
                <w:sz w:val="24"/>
                <w:szCs w:val="24"/>
                <w:lang w:val="en-US" w:eastAsia="zh-CN"/>
              </w:rPr>
              <w:t>4</w:t>
            </w:r>
          </w:p>
        </w:tc>
      </w:tr>
      <w:tr w14:paraId="27988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0" w:hRule="atLeast"/>
          <w:jc w:val="center"/>
        </w:trPr>
        <w:tc>
          <w:tcPr>
            <w:tcW w:w="1412" w:type="dxa"/>
            <w:vMerge w:val="restart"/>
            <w:vAlign w:val="center"/>
          </w:tcPr>
          <w:p w14:paraId="6FF02980">
            <w:pPr>
              <w:adjustRightInd w:val="0"/>
              <w:snapToGrid w:val="0"/>
              <w:jc w:val="center"/>
              <w:rPr>
                <w:rFonts w:hint="eastAsia" w:cs="宋体" w:asciiTheme="minorEastAsia" w:hAnsiTheme="minorEastAsia"/>
                <w:kern w:val="0"/>
                <w:sz w:val="24"/>
                <w:szCs w:val="24"/>
                <w:lang w:eastAsia="zh-CN"/>
              </w:rPr>
            </w:pPr>
            <w:r>
              <w:rPr>
                <w:rFonts w:hint="eastAsia" w:cs="宋体" w:asciiTheme="minorEastAsia" w:hAnsiTheme="minorEastAsia"/>
                <w:kern w:val="0"/>
                <w:sz w:val="24"/>
                <w:szCs w:val="24"/>
                <w:lang w:eastAsia="zh-CN"/>
              </w:rPr>
              <w:t>2.2.</w:t>
            </w:r>
            <w:r>
              <w:rPr>
                <w:rFonts w:hint="eastAsia" w:cs="宋体" w:asciiTheme="minorEastAsia" w:hAnsiTheme="minorEastAsia"/>
                <w:kern w:val="0"/>
                <w:sz w:val="24"/>
                <w:szCs w:val="24"/>
                <w:lang w:val="en-US" w:eastAsia="zh-CN"/>
              </w:rPr>
              <w:t>3</w:t>
            </w:r>
          </w:p>
        </w:tc>
        <w:tc>
          <w:tcPr>
            <w:tcW w:w="1907" w:type="dxa"/>
            <w:vMerge w:val="restart"/>
            <w:vAlign w:val="center"/>
          </w:tcPr>
          <w:p w14:paraId="5732AB31">
            <w:pPr>
              <w:adjustRightInd w:val="0"/>
              <w:snapToGrid w:val="0"/>
              <w:jc w:val="center"/>
              <w:rPr>
                <w:rFonts w:hint="default" w:cs="宋体" w:asciiTheme="minorEastAsia" w:hAnsiTheme="minorEastAsia"/>
                <w:sz w:val="24"/>
                <w:szCs w:val="24"/>
                <w:lang w:val="en-US" w:eastAsia="zh-CN"/>
              </w:rPr>
            </w:pPr>
            <w:r>
              <w:rPr>
                <w:rFonts w:hint="eastAsia" w:cs="宋体" w:asciiTheme="minorEastAsia" w:hAnsiTheme="minorEastAsia"/>
                <w:sz w:val="24"/>
                <w:szCs w:val="24"/>
                <w:lang w:val="en-US" w:eastAsia="zh-CN"/>
              </w:rPr>
              <w:t>方案评分标准</w:t>
            </w:r>
          </w:p>
        </w:tc>
        <w:tc>
          <w:tcPr>
            <w:tcW w:w="6086" w:type="dxa"/>
            <w:vAlign w:val="center"/>
          </w:tcPr>
          <w:p w14:paraId="22E13739">
            <w:pPr>
              <w:numPr>
                <w:ilvl w:val="0"/>
                <w:numId w:val="0"/>
              </w:numPr>
              <w:adjustRightInd w:val="0"/>
              <w:snapToGrid w:val="0"/>
              <w:ind w:leftChars="0"/>
              <w:rPr>
                <w:rFonts w:hint="eastAsia" w:ascii="宋体" w:hAnsi="宋体" w:eastAsia="宋体" w:cs="宋体"/>
                <w:sz w:val="24"/>
                <w:szCs w:val="24"/>
                <w:lang w:eastAsia="zh-CN"/>
              </w:rPr>
            </w:pPr>
            <w:r>
              <w:rPr>
                <w:rFonts w:hint="eastAsia" w:ascii="宋体" w:hAnsi="宋体" w:eastAsia="宋体" w:cs="宋体"/>
                <w:sz w:val="24"/>
                <w:szCs w:val="24"/>
                <w:lang w:eastAsia="zh-CN"/>
              </w:rPr>
              <w:t>【蒲公英达人】（10分）</w:t>
            </w:r>
          </w:p>
          <w:p w14:paraId="32AA6387">
            <w:pPr>
              <w:numPr>
                <w:ilvl w:val="0"/>
                <w:numId w:val="0"/>
              </w:numPr>
              <w:adjustRightInd w:val="0"/>
              <w:snapToGrid w:val="0"/>
              <w:ind w:leftChars="0"/>
              <w:rPr>
                <w:rFonts w:hint="eastAsia" w:ascii="宋体" w:hAnsi="宋体" w:eastAsia="宋体" w:cs="宋体"/>
                <w:sz w:val="24"/>
                <w:szCs w:val="24"/>
                <w:lang w:eastAsia="zh-CN"/>
              </w:rPr>
            </w:pPr>
          </w:p>
          <w:p w14:paraId="30723793">
            <w:pPr>
              <w:numPr>
                <w:ilvl w:val="0"/>
                <w:numId w:val="0"/>
              </w:numPr>
              <w:adjustRightInd w:val="0"/>
              <w:snapToGrid w:val="0"/>
              <w:ind w:leftChars="0"/>
              <w:rPr>
                <w:rFonts w:hint="eastAsia" w:ascii="宋体" w:hAnsi="宋体" w:eastAsia="宋体" w:cs="宋体"/>
                <w:sz w:val="24"/>
                <w:szCs w:val="24"/>
                <w:lang w:eastAsia="zh-CN"/>
              </w:rPr>
            </w:pPr>
            <w:r>
              <w:rPr>
                <w:rFonts w:hint="eastAsia" w:ascii="宋体" w:hAnsi="宋体" w:eastAsia="宋体" w:cs="宋体"/>
                <w:sz w:val="24"/>
                <w:szCs w:val="24"/>
                <w:lang w:eastAsia="zh-CN"/>
              </w:rPr>
              <w:t>A.服务商筛选出的达人可在蒲公英平台进行达人基本信息查询，并支持投放推广</w:t>
            </w:r>
          </w:p>
          <w:p w14:paraId="304A1227">
            <w:pPr>
              <w:numPr>
                <w:ilvl w:val="0"/>
                <w:numId w:val="0"/>
              </w:numPr>
              <w:adjustRightInd w:val="0"/>
              <w:snapToGrid w:val="0"/>
              <w:ind w:leftChars="0"/>
              <w:rPr>
                <w:rFonts w:hint="eastAsia" w:ascii="宋体" w:hAnsi="宋体" w:eastAsia="宋体" w:cs="宋体"/>
                <w:sz w:val="24"/>
                <w:szCs w:val="24"/>
                <w:lang w:eastAsia="zh-CN"/>
              </w:rPr>
            </w:pPr>
            <w:r>
              <w:rPr>
                <w:rFonts w:hint="eastAsia" w:ascii="宋体" w:hAnsi="宋体" w:eastAsia="宋体" w:cs="宋体"/>
                <w:sz w:val="24"/>
                <w:szCs w:val="24"/>
                <w:lang w:eastAsia="zh-CN"/>
              </w:rPr>
              <w:t>蒲公英达人认证需提供平台资质截图，非平台达人需列明非平台达人的风控方案（如第三方数据监测工具需提供给我方账号供查询）</w:t>
            </w:r>
          </w:p>
          <w:p w14:paraId="2BC9D7AF">
            <w:pPr>
              <w:numPr>
                <w:ilvl w:val="0"/>
                <w:numId w:val="0"/>
              </w:numPr>
              <w:adjustRightInd w:val="0"/>
              <w:snapToGrid w:val="0"/>
              <w:ind w:leftChars="0"/>
              <w:rPr>
                <w:rFonts w:hint="eastAsia" w:ascii="宋体" w:hAnsi="宋体" w:eastAsia="宋体" w:cs="宋体"/>
                <w:sz w:val="24"/>
                <w:szCs w:val="24"/>
                <w:lang w:eastAsia="zh-CN"/>
              </w:rPr>
            </w:pPr>
          </w:p>
          <w:p w14:paraId="1731FA48">
            <w:pPr>
              <w:numPr>
                <w:ilvl w:val="0"/>
                <w:numId w:val="0"/>
              </w:numPr>
              <w:adjustRightInd w:val="0"/>
              <w:snapToGrid w:val="0"/>
              <w:ind w:leftChars="0"/>
              <w:rPr>
                <w:rFonts w:hint="eastAsia" w:ascii="宋体" w:hAnsi="宋体" w:eastAsia="宋体" w:cs="宋体"/>
                <w:sz w:val="24"/>
                <w:szCs w:val="24"/>
                <w:lang w:eastAsia="zh-CN"/>
              </w:rPr>
            </w:pPr>
            <w:r>
              <w:rPr>
                <w:rFonts w:hint="eastAsia" w:ascii="宋体" w:hAnsi="宋体" w:eastAsia="宋体" w:cs="宋体"/>
                <w:sz w:val="24"/>
                <w:szCs w:val="24"/>
                <w:lang w:eastAsia="zh-CN"/>
              </w:rPr>
              <w:t>B.评分标准：全部为蒲公英平台达人得（10分），仅支持部分得（5分），完全不走平台得（1分）</w:t>
            </w:r>
          </w:p>
        </w:tc>
        <w:tc>
          <w:tcPr>
            <w:tcW w:w="1354" w:type="dxa"/>
            <w:vAlign w:val="center"/>
          </w:tcPr>
          <w:p w14:paraId="70D3FF67">
            <w:pPr>
              <w:spacing w:line="360" w:lineRule="auto"/>
              <w:jc w:val="center"/>
              <w:rPr>
                <w:rFonts w:hint="default" w:cs="宋体" w:asciiTheme="minorEastAsia" w:hAnsiTheme="minorEastAsia"/>
                <w:sz w:val="24"/>
                <w:szCs w:val="24"/>
                <w:lang w:val="en-US" w:eastAsia="zh-CN"/>
              </w:rPr>
            </w:pPr>
            <w:r>
              <w:rPr>
                <w:rFonts w:hint="eastAsia" w:cs="宋体" w:asciiTheme="minorEastAsia" w:hAnsiTheme="minorEastAsia"/>
                <w:sz w:val="24"/>
                <w:szCs w:val="24"/>
                <w:lang w:val="en-US" w:eastAsia="zh-CN"/>
              </w:rPr>
              <w:t>10</w:t>
            </w:r>
          </w:p>
        </w:tc>
      </w:tr>
      <w:tr w14:paraId="712C7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0" w:hRule="atLeast"/>
          <w:jc w:val="center"/>
        </w:trPr>
        <w:tc>
          <w:tcPr>
            <w:tcW w:w="1412" w:type="dxa"/>
            <w:vMerge w:val="continue"/>
            <w:vAlign w:val="center"/>
          </w:tcPr>
          <w:p w14:paraId="471F241E">
            <w:pPr>
              <w:adjustRightInd w:val="0"/>
              <w:snapToGrid w:val="0"/>
              <w:jc w:val="center"/>
              <w:rPr>
                <w:rFonts w:hint="eastAsia" w:cs="宋体" w:asciiTheme="minorEastAsia" w:hAnsiTheme="minorEastAsia"/>
                <w:kern w:val="0"/>
                <w:sz w:val="24"/>
                <w:szCs w:val="24"/>
                <w:lang w:eastAsia="zh-CN"/>
              </w:rPr>
            </w:pPr>
          </w:p>
        </w:tc>
        <w:tc>
          <w:tcPr>
            <w:tcW w:w="1907" w:type="dxa"/>
            <w:vMerge w:val="continue"/>
            <w:vAlign w:val="center"/>
          </w:tcPr>
          <w:p w14:paraId="30E0A1C1">
            <w:pPr>
              <w:adjustRightInd w:val="0"/>
              <w:snapToGrid w:val="0"/>
              <w:jc w:val="center"/>
              <w:rPr>
                <w:rFonts w:hint="eastAsia" w:cs="宋体" w:asciiTheme="minorEastAsia" w:hAnsiTheme="minorEastAsia"/>
                <w:sz w:val="24"/>
                <w:szCs w:val="24"/>
                <w:lang w:val="en-US" w:eastAsia="zh-CN"/>
              </w:rPr>
            </w:pPr>
          </w:p>
        </w:tc>
        <w:tc>
          <w:tcPr>
            <w:tcW w:w="6086" w:type="dxa"/>
            <w:vAlign w:val="center"/>
          </w:tcPr>
          <w:p w14:paraId="104CB17D">
            <w:pPr>
              <w:numPr>
                <w:ilvl w:val="0"/>
                <w:numId w:val="0"/>
              </w:numPr>
              <w:adjustRightInd w:val="0"/>
              <w:snapToGrid w:val="0"/>
              <w:ind w:leftChars="0"/>
              <w:rPr>
                <w:rFonts w:hint="eastAsia" w:ascii="宋体" w:hAnsi="宋体" w:eastAsia="宋体" w:cs="宋体"/>
                <w:sz w:val="24"/>
                <w:szCs w:val="24"/>
                <w:lang w:eastAsia="zh-CN"/>
              </w:rPr>
            </w:pPr>
            <w:r>
              <w:rPr>
                <w:rFonts w:hint="eastAsia" w:ascii="宋体" w:hAnsi="宋体" w:eastAsia="宋体" w:cs="宋体"/>
                <w:sz w:val="24"/>
                <w:szCs w:val="24"/>
                <w:lang w:eastAsia="zh-CN"/>
              </w:rPr>
              <w:t>【KFS策略规划】（10分）</w:t>
            </w:r>
          </w:p>
          <w:p w14:paraId="46D8EDBD">
            <w:pPr>
              <w:numPr>
                <w:ilvl w:val="0"/>
                <w:numId w:val="0"/>
              </w:numPr>
              <w:adjustRightInd w:val="0"/>
              <w:snapToGrid w:val="0"/>
              <w:ind w:leftChars="0"/>
              <w:rPr>
                <w:rFonts w:hint="eastAsia" w:ascii="宋体" w:hAnsi="宋体" w:eastAsia="宋体" w:cs="宋体"/>
                <w:sz w:val="24"/>
                <w:szCs w:val="24"/>
                <w:lang w:eastAsia="zh-CN"/>
              </w:rPr>
            </w:pPr>
          </w:p>
          <w:p w14:paraId="07BC2A24">
            <w:pPr>
              <w:numPr>
                <w:ilvl w:val="0"/>
                <w:numId w:val="0"/>
              </w:numPr>
              <w:adjustRightInd w:val="0"/>
              <w:snapToGrid w:val="0"/>
              <w:ind w:leftChars="0"/>
              <w:rPr>
                <w:rFonts w:hint="eastAsia" w:ascii="宋体" w:hAnsi="宋体" w:eastAsia="宋体" w:cs="宋体"/>
                <w:sz w:val="24"/>
                <w:szCs w:val="24"/>
                <w:lang w:eastAsia="zh-CN"/>
              </w:rPr>
            </w:pPr>
            <w:r>
              <w:rPr>
                <w:rFonts w:hint="eastAsia" w:ascii="宋体" w:hAnsi="宋体" w:eastAsia="宋体" w:cs="宋体"/>
                <w:sz w:val="24"/>
                <w:szCs w:val="24"/>
                <w:lang w:eastAsia="zh-CN"/>
              </w:rPr>
              <w:t>A.由评分人员现场根据整体方案进行评分，至少包括达人筛选，投放规划，数据预估等</w:t>
            </w:r>
          </w:p>
          <w:p w14:paraId="1838A8CB">
            <w:pPr>
              <w:numPr>
                <w:ilvl w:val="0"/>
                <w:numId w:val="0"/>
              </w:numPr>
              <w:adjustRightInd w:val="0"/>
              <w:snapToGrid w:val="0"/>
              <w:ind w:leftChars="0"/>
              <w:rPr>
                <w:rFonts w:hint="eastAsia" w:ascii="宋体" w:hAnsi="宋体" w:eastAsia="宋体" w:cs="宋体"/>
                <w:sz w:val="24"/>
                <w:szCs w:val="24"/>
                <w:lang w:eastAsia="zh-CN"/>
              </w:rPr>
            </w:pPr>
          </w:p>
          <w:p w14:paraId="06752311">
            <w:pPr>
              <w:numPr>
                <w:ilvl w:val="0"/>
                <w:numId w:val="0"/>
              </w:numPr>
              <w:adjustRightInd w:val="0"/>
              <w:snapToGrid w:val="0"/>
              <w:ind w:leftChars="0"/>
              <w:rPr>
                <w:rFonts w:hint="eastAsia" w:ascii="宋体" w:hAnsi="宋体" w:eastAsia="宋体" w:cs="宋体"/>
                <w:sz w:val="24"/>
                <w:szCs w:val="24"/>
                <w:lang w:eastAsia="zh-CN"/>
              </w:rPr>
            </w:pPr>
            <w:r>
              <w:rPr>
                <w:rFonts w:hint="eastAsia" w:ascii="宋体" w:hAnsi="宋体" w:eastAsia="宋体" w:cs="宋体"/>
                <w:sz w:val="24"/>
                <w:szCs w:val="24"/>
                <w:lang w:eastAsia="zh-CN"/>
              </w:rPr>
              <w:t>B.评分标准：方案具有完整性，逻辑性，美观性最高得（10分），依次递减8分/6分/4分/2分。</w:t>
            </w:r>
          </w:p>
        </w:tc>
        <w:tc>
          <w:tcPr>
            <w:tcW w:w="1354" w:type="dxa"/>
            <w:vAlign w:val="center"/>
          </w:tcPr>
          <w:p w14:paraId="61E24E00">
            <w:pPr>
              <w:spacing w:line="360" w:lineRule="auto"/>
              <w:jc w:val="center"/>
              <w:rPr>
                <w:rFonts w:hint="default" w:cs="宋体" w:asciiTheme="minorEastAsia" w:hAnsiTheme="minorEastAsia"/>
                <w:sz w:val="24"/>
                <w:szCs w:val="24"/>
                <w:lang w:val="en-US" w:eastAsia="zh-CN"/>
              </w:rPr>
            </w:pPr>
            <w:r>
              <w:rPr>
                <w:rFonts w:hint="eastAsia" w:cs="宋体" w:asciiTheme="minorEastAsia" w:hAnsiTheme="minorEastAsia"/>
                <w:sz w:val="24"/>
                <w:szCs w:val="24"/>
                <w:lang w:val="en-US" w:eastAsia="zh-CN"/>
              </w:rPr>
              <w:t>10</w:t>
            </w:r>
          </w:p>
        </w:tc>
      </w:tr>
      <w:tr w14:paraId="3DD67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0" w:hRule="atLeast"/>
          <w:jc w:val="center"/>
        </w:trPr>
        <w:tc>
          <w:tcPr>
            <w:tcW w:w="1412" w:type="dxa"/>
            <w:vMerge w:val="continue"/>
            <w:vAlign w:val="center"/>
          </w:tcPr>
          <w:p w14:paraId="250DE385">
            <w:pPr>
              <w:adjustRightInd w:val="0"/>
              <w:snapToGrid w:val="0"/>
              <w:jc w:val="center"/>
              <w:rPr>
                <w:rFonts w:hint="eastAsia" w:cs="宋体" w:asciiTheme="minorEastAsia" w:hAnsiTheme="minorEastAsia"/>
                <w:kern w:val="0"/>
                <w:sz w:val="24"/>
                <w:szCs w:val="24"/>
                <w:lang w:eastAsia="zh-CN"/>
              </w:rPr>
            </w:pPr>
          </w:p>
        </w:tc>
        <w:tc>
          <w:tcPr>
            <w:tcW w:w="1907" w:type="dxa"/>
            <w:vMerge w:val="continue"/>
            <w:vAlign w:val="center"/>
          </w:tcPr>
          <w:p w14:paraId="5E0DC59E">
            <w:pPr>
              <w:adjustRightInd w:val="0"/>
              <w:snapToGrid w:val="0"/>
              <w:jc w:val="center"/>
              <w:rPr>
                <w:rFonts w:hint="eastAsia" w:cs="宋体" w:asciiTheme="minorEastAsia" w:hAnsiTheme="minorEastAsia"/>
                <w:sz w:val="24"/>
                <w:szCs w:val="24"/>
                <w:lang w:val="en-US" w:eastAsia="zh-CN"/>
              </w:rPr>
            </w:pPr>
          </w:p>
        </w:tc>
        <w:tc>
          <w:tcPr>
            <w:tcW w:w="6086" w:type="dxa"/>
            <w:vAlign w:val="center"/>
          </w:tcPr>
          <w:p w14:paraId="0C54306D">
            <w:pPr>
              <w:numPr>
                <w:ilvl w:val="0"/>
                <w:numId w:val="0"/>
              </w:numPr>
              <w:adjustRightInd w:val="0"/>
              <w:snapToGrid w:val="0"/>
              <w:ind w:leftChars="0"/>
              <w:rPr>
                <w:rFonts w:hint="eastAsia" w:ascii="宋体" w:hAnsi="宋体" w:eastAsia="宋体" w:cs="宋体"/>
                <w:sz w:val="24"/>
                <w:szCs w:val="24"/>
                <w:lang w:eastAsia="zh-CN"/>
              </w:rPr>
            </w:pPr>
            <w:r>
              <w:rPr>
                <w:rFonts w:hint="eastAsia" w:ascii="宋体" w:hAnsi="宋体" w:eastAsia="宋体" w:cs="宋体"/>
                <w:sz w:val="24"/>
                <w:szCs w:val="24"/>
                <w:lang w:eastAsia="zh-CN"/>
              </w:rPr>
              <w:t>【达人运营】（10分）</w:t>
            </w:r>
          </w:p>
          <w:p w14:paraId="420E2C20">
            <w:pPr>
              <w:numPr>
                <w:ilvl w:val="0"/>
                <w:numId w:val="0"/>
              </w:numPr>
              <w:adjustRightInd w:val="0"/>
              <w:snapToGrid w:val="0"/>
              <w:ind w:leftChars="0"/>
              <w:rPr>
                <w:rFonts w:hint="eastAsia" w:ascii="宋体" w:hAnsi="宋体" w:eastAsia="宋体" w:cs="宋体"/>
                <w:sz w:val="24"/>
                <w:szCs w:val="24"/>
                <w:lang w:eastAsia="zh-CN"/>
              </w:rPr>
            </w:pPr>
          </w:p>
          <w:p w14:paraId="48CDE0F0">
            <w:pPr>
              <w:numPr>
                <w:ilvl w:val="0"/>
                <w:numId w:val="0"/>
              </w:numPr>
              <w:adjustRightInd w:val="0"/>
              <w:snapToGrid w:val="0"/>
              <w:ind w:leftChars="0"/>
              <w:rPr>
                <w:rFonts w:hint="eastAsia" w:ascii="宋体" w:hAnsi="宋体" w:eastAsia="宋体" w:cs="宋体"/>
                <w:sz w:val="24"/>
                <w:szCs w:val="24"/>
                <w:lang w:eastAsia="zh-CN"/>
              </w:rPr>
            </w:pPr>
            <w:r>
              <w:rPr>
                <w:rFonts w:hint="eastAsia" w:ascii="宋体" w:hAnsi="宋体" w:eastAsia="宋体" w:cs="宋体"/>
                <w:sz w:val="24"/>
                <w:szCs w:val="24"/>
                <w:lang w:eastAsia="zh-CN"/>
              </w:rPr>
              <w:t>A.提供达人brief内容策划编写、梳理；</w:t>
            </w:r>
          </w:p>
          <w:p w14:paraId="26EF731D">
            <w:pPr>
              <w:numPr>
                <w:ilvl w:val="0"/>
                <w:numId w:val="0"/>
              </w:numPr>
              <w:adjustRightInd w:val="0"/>
              <w:snapToGrid w:val="0"/>
              <w:ind w:leftChars="0"/>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提供达人脚本审核、修改并向我方确认；                                                             </w:t>
            </w:r>
          </w:p>
          <w:p w14:paraId="446C091B">
            <w:pPr>
              <w:numPr>
                <w:ilvl w:val="0"/>
                <w:numId w:val="0"/>
              </w:numPr>
              <w:adjustRightInd w:val="0"/>
              <w:snapToGrid w:val="0"/>
              <w:ind w:leftChars="0"/>
              <w:rPr>
                <w:rFonts w:hint="eastAsia" w:ascii="宋体" w:hAnsi="宋体" w:eastAsia="宋体" w:cs="宋体"/>
                <w:sz w:val="24"/>
                <w:szCs w:val="24"/>
                <w:lang w:eastAsia="zh-CN"/>
              </w:rPr>
            </w:pPr>
            <w:r>
              <w:rPr>
                <w:rFonts w:hint="eastAsia" w:ascii="宋体" w:hAnsi="宋体" w:eastAsia="宋体" w:cs="宋体"/>
                <w:sz w:val="24"/>
                <w:szCs w:val="24"/>
                <w:lang w:eastAsia="zh-CN"/>
              </w:rPr>
              <w:t>提供达人样片审核、修改并向我方确认；</w:t>
            </w:r>
          </w:p>
          <w:p w14:paraId="2C908308">
            <w:pPr>
              <w:numPr>
                <w:ilvl w:val="0"/>
                <w:numId w:val="0"/>
              </w:numPr>
              <w:adjustRightInd w:val="0"/>
              <w:snapToGrid w:val="0"/>
              <w:ind w:leftChars="0"/>
              <w:rPr>
                <w:rFonts w:hint="eastAsia" w:ascii="宋体" w:hAnsi="宋体" w:eastAsia="宋体" w:cs="宋体"/>
                <w:sz w:val="24"/>
                <w:szCs w:val="24"/>
                <w:lang w:eastAsia="zh-CN"/>
              </w:rPr>
            </w:pPr>
            <w:r>
              <w:rPr>
                <w:rFonts w:hint="eastAsia" w:ascii="宋体" w:hAnsi="宋体" w:eastAsia="宋体" w:cs="宋体"/>
                <w:sz w:val="24"/>
                <w:szCs w:val="24"/>
                <w:lang w:eastAsia="zh-CN"/>
              </w:rPr>
              <w:t>提供达人投放策略，实现站内信息流&amp;搜索优化与助力成交；</w:t>
            </w:r>
          </w:p>
          <w:p w14:paraId="5CF655FF">
            <w:pPr>
              <w:numPr>
                <w:ilvl w:val="0"/>
                <w:numId w:val="0"/>
              </w:numPr>
              <w:adjustRightInd w:val="0"/>
              <w:snapToGrid w:val="0"/>
              <w:ind w:leftChars="0"/>
              <w:rPr>
                <w:rFonts w:hint="eastAsia" w:ascii="宋体" w:hAnsi="宋体" w:eastAsia="宋体" w:cs="宋体"/>
                <w:sz w:val="24"/>
                <w:szCs w:val="24"/>
                <w:lang w:eastAsia="zh-CN"/>
              </w:rPr>
            </w:pPr>
          </w:p>
          <w:p w14:paraId="468ADFB0">
            <w:pPr>
              <w:numPr>
                <w:ilvl w:val="0"/>
                <w:numId w:val="0"/>
              </w:numPr>
              <w:adjustRightInd w:val="0"/>
              <w:snapToGrid w:val="0"/>
              <w:ind w:leftChars="0"/>
              <w:rPr>
                <w:rFonts w:hint="eastAsia" w:ascii="宋体" w:hAnsi="宋体" w:eastAsia="宋体" w:cs="宋体"/>
                <w:sz w:val="24"/>
                <w:szCs w:val="24"/>
                <w:lang w:eastAsia="zh-CN"/>
              </w:rPr>
            </w:pPr>
            <w:r>
              <w:rPr>
                <w:rFonts w:hint="eastAsia" w:ascii="宋体" w:hAnsi="宋体" w:eastAsia="宋体" w:cs="宋体"/>
                <w:sz w:val="24"/>
                <w:szCs w:val="24"/>
                <w:lang w:eastAsia="zh-CN"/>
              </w:rPr>
              <w:t>B.评分标准:以上4项，需提供过往执行案例中的对应文件等作为佐证，每符合一项得（2分），全部符合得（8分）；过往执行案例为旅游行业再得（2分）</w:t>
            </w:r>
          </w:p>
        </w:tc>
        <w:tc>
          <w:tcPr>
            <w:tcW w:w="1354" w:type="dxa"/>
            <w:vAlign w:val="center"/>
          </w:tcPr>
          <w:p w14:paraId="0A6638C5">
            <w:pPr>
              <w:spacing w:line="360" w:lineRule="auto"/>
              <w:jc w:val="center"/>
              <w:rPr>
                <w:rFonts w:hint="default" w:cs="宋体" w:asciiTheme="minorEastAsia" w:hAnsiTheme="minorEastAsia"/>
                <w:sz w:val="24"/>
                <w:szCs w:val="24"/>
                <w:lang w:val="en-US" w:eastAsia="zh-CN"/>
              </w:rPr>
            </w:pPr>
            <w:r>
              <w:rPr>
                <w:rFonts w:hint="eastAsia" w:cs="宋体" w:asciiTheme="minorEastAsia" w:hAnsiTheme="minorEastAsia"/>
                <w:sz w:val="24"/>
                <w:szCs w:val="24"/>
                <w:lang w:val="en-US" w:eastAsia="zh-CN"/>
              </w:rPr>
              <w:t>10</w:t>
            </w:r>
          </w:p>
        </w:tc>
      </w:tr>
      <w:tr w14:paraId="7768B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0" w:hRule="atLeast"/>
          <w:jc w:val="center"/>
        </w:trPr>
        <w:tc>
          <w:tcPr>
            <w:tcW w:w="1412" w:type="dxa"/>
            <w:vMerge w:val="continue"/>
            <w:vAlign w:val="center"/>
          </w:tcPr>
          <w:p w14:paraId="356246F8">
            <w:pPr>
              <w:adjustRightInd w:val="0"/>
              <w:snapToGrid w:val="0"/>
              <w:jc w:val="center"/>
              <w:rPr>
                <w:rFonts w:hint="eastAsia" w:cs="宋体" w:asciiTheme="minorEastAsia" w:hAnsiTheme="minorEastAsia"/>
                <w:kern w:val="0"/>
                <w:sz w:val="24"/>
                <w:szCs w:val="24"/>
                <w:lang w:eastAsia="zh-CN"/>
              </w:rPr>
            </w:pPr>
          </w:p>
        </w:tc>
        <w:tc>
          <w:tcPr>
            <w:tcW w:w="1907" w:type="dxa"/>
            <w:vMerge w:val="continue"/>
            <w:vAlign w:val="center"/>
          </w:tcPr>
          <w:p w14:paraId="2257C076">
            <w:pPr>
              <w:adjustRightInd w:val="0"/>
              <w:snapToGrid w:val="0"/>
              <w:jc w:val="center"/>
              <w:rPr>
                <w:rFonts w:hint="eastAsia" w:cs="宋体" w:asciiTheme="minorEastAsia" w:hAnsiTheme="minorEastAsia"/>
                <w:sz w:val="24"/>
                <w:szCs w:val="24"/>
                <w:lang w:val="en-US" w:eastAsia="zh-CN"/>
              </w:rPr>
            </w:pPr>
          </w:p>
        </w:tc>
        <w:tc>
          <w:tcPr>
            <w:tcW w:w="6086" w:type="dxa"/>
            <w:vAlign w:val="center"/>
          </w:tcPr>
          <w:p w14:paraId="198F4AC2">
            <w:pPr>
              <w:numPr>
                <w:ilvl w:val="0"/>
                <w:numId w:val="0"/>
              </w:numPr>
              <w:adjustRightInd w:val="0"/>
              <w:snapToGrid w:val="0"/>
              <w:ind w:leftChars="0"/>
              <w:rPr>
                <w:rFonts w:hint="eastAsia" w:ascii="宋体" w:hAnsi="宋体" w:eastAsia="宋体" w:cs="宋体"/>
                <w:sz w:val="24"/>
                <w:szCs w:val="24"/>
                <w:lang w:eastAsia="zh-CN"/>
              </w:rPr>
            </w:pPr>
            <w:r>
              <w:rPr>
                <w:rFonts w:hint="eastAsia" w:ascii="宋体" w:hAnsi="宋体" w:eastAsia="宋体" w:cs="宋体"/>
                <w:sz w:val="24"/>
                <w:szCs w:val="24"/>
                <w:lang w:eastAsia="zh-CN"/>
              </w:rPr>
              <w:t>【素材支持】（10分）</w:t>
            </w:r>
          </w:p>
          <w:p w14:paraId="7288A3E9">
            <w:pPr>
              <w:numPr>
                <w:ilvl w:val="0"/>
                <w:numId w:val="0"/>
              </w:numPr>
              <w:adjustRightInd w:val="0"/>
              <w:snapToGrid w:val="0"/>
              <w:ind w:leftChars="0"/>
              <w:rPr>
                <w:rFonts w:hint="eastAsia" w:ascii="宋体" w:hAnsi="宋体" w:eastAsia="宋体" w:cs="宋体"/>
                <w:sz w:val="24"/>
                <w:szCs w:val="24"/>
                <w:lang w:eastAsia="zh-CN"/>
              </w:rPr>
            </w:pPr>
          </w:p>
          <w:p w14:paraId="553A8431">
            <w:pPr>
              <w:numPr>
                <w:ilvl w:val="0"/>
                <w:numId w:val="0"/>
              </w:numPr>
              <w:adjustRightInd w:val="0"/>
              <w:snapToGrid w:val="0"/>
              <w:ind w:leftChars="0"/>
              <w:rPr>
                <w:rFonts w:hint="eastAsia" w:ascii="宋体" w:hAnsi="宋体" w:eastAsia="宋体" w:cs="宋体"/>
                <w:sz w:val="24"/>
                <w:szCs w:val="24"/>
                <w:lang w:eastAsia="zh-CN"/>
              </w:rPr>
            </w:pPr>
            <w:r>
              <w:rPr>
                <w:rFonts w:hint="eastAsia" w:ascii="宋体" w:hAnsi="宋体" w:eastAsia="宋体" w:cs="宋体"/>
                <w:sz w:val="24"/>
                <w:szCs w:val="24"/>
                <w:lang w:eastAsia="zh-CN"/>
              </w:rPr>
              <w:t>A.保障至少有10名以上达人愿意拍摄优质图片素材供我方</w:t>
            </w:r>
            <w:r>
              <w:rPr>
                <w:rFonts w:hint="eastAsia" w:ascii="宋体" w:hAnsi="宋体" w:eastAsia="宋体" w:cs="宋体"/>
                <w:sz w:val="24"/>
                <w:szCs w:val="24"/>
                <w:lang w:val="en-US" w:eastAsia="zh-CN"/>
              </w:rPr>
              <w:t>官号与KOS</w:t>
            </w:r>
            <w:r>
              <w:rPr>
                <w:rFonts w:hint="eastAsia" w:ascii="宋体" w:hAnsi="宋体" w:eastAsia="宋体" w:cs="宋体"/>
                <w:sz w:val="24"/>
                <w:szCs w:val="24"/>
                <w:lang w:eastAsia="zh-CN"/>
              </w:rPr>
              <w:t>账号使用，不与达人账号使用图片重合；其中对于图片or视频质量/是否达人出镜/拍摄角度等内容由供应商出规划，我方审核确认。</w:t>
            </w:r>
          </w:p>
          <w:p w14:paraId="4FA15031">
            <w:pPr>
              <w:numPr>
                <w:ilvl w:val="0"/>
                <w:numId w:val="0"/>
              </w:numPr>
              <w:adjustRightInd w:val="0"/>
              <w:snapToGrid w:val="0"/>
              <w:ind w:leftChars="0"/>
              <w:rPr>
                <w:rFonts w:hint="eastAsia" w:ascii="宋体" w:hAnsi="宋体" w:eastAsia="宋体" w:cs="宋体"/>
                <w:sz w:val="24"/>
                <w:szCs w:val="24"/>
                <w:lang w:eastAsia="zh-CN"/>
              </w:rPr>
            </w:pPr>
          </w:p>
          <w:p w14:paraId="60153FD7">
            <w:pPr>
              <w:numPr>
                <w:ilvl w:val="0"/>
                <w:numId w:val="0"/>
              </w:numPr>
              <w:adjustRightInd w:val="0"/>
              <w:snapToGrid w:val="0"/>
              <w:ind w:leftChars="0"/>
              <w:rPr>
                <w:rFonts w:hint="eastAsia" w:ascii="宋体" w:hAnsi="宋体" w:eastAsia="宋体" w:cs="宋体"/>
                <w:sz w:val="24"/>
                <w:szCs w:val="24"/>
                <w:lang w:eastAsia="zh-CN"/>
              </w:rPr>
            </w:pPr>
            <w:r>
              <w:rPr>
                <w:rFonts w:hint="eastAsia" w:ascii="宋体" w:hAnsi="宋体" w:eastAsia="宋体" w:cs="宋体"/>
                <w:sz w:val="24"/>
                <w:szCs w:val="24"/>
                <w:lang w:eastAsia="zh-CN"/>
              </w:rPr>
              <w:t>B.评分标准：可以提供≥10名达人得（10分），5-8名达人得（5分），＜5名达人得（1分）</w:t>
            </w:r>
          </w:p>
        </w:tc>
        <w:tc>
          <w:tcPr>
            <w:tcW w:w="1354" w:type="dxa"/>
            <w:vAlign w:val="center"/>
          </w:tcPr>
          <w:p w14:paraId="790E3994">
            <w:pPr>
              <w:spacing w:line="360" w:lineRule="auto"/>
              <w:jc w:val="center"/>
              <w:rPr>
                <w:rFonts w:hint="default" w:cs="宋体" w:asciiTheme="minorEastAsia" w:hAnsiTheme="minorEastAsia"/>
                <w:sz w:val="24"/>
                <w:szCs w:val="24"/>
                <w:lang w:val="en-US" w:eastAsia="zh-CN"/>
              </w:rPr>
            </w:pPr>
            <w:r>
              <w:rPr>
                <w:rFonts w:hint="eastAsia" w:cs="宋体" w:asciiTheme="minorEastAsia" w:hAnsiTheme="minorEastAsia"/>
                <w:sz w:val="24"/>
                <w:szCs w:val="24"/>
                <w:lang w:val="en-US" w:eastAsia="zh-CN"/>
              </w:rPr>
              <w:t>10</w:t>
            </w:r>
          </w:p>
        </w:tc>
      </w:tr>
      <w:tr w14:paraId="3A99B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0" w:hRule="atLeast"/>
          <w:jc w:val="center"/>
        </w:trPr>
        <w:tc>
          <w:tcPr>
            <w:tcW w:w="1412" w:type="dxa"/>
            <w:vMerge w:val="continue"/>
            <w:vAlign w:val="center"/>
          </w:tcPr>
          <w:p w14:paraId="56E7F05C">
            <w:pPr>
              <w:adjustRightInd w:val="0"/>
              <w:snapToGrid w:val="0"/>
              <w:jc w:val="center"/>
              <w:rPr>
                <w:rFonts w:hint="eastAsia" w:cs="宋体" w:asciiTheme="minorEastAsia" w:hAnsiTheme="minorEastAsia"/>
                <w:kern w:val="0"/>
                <w:sz w:val="24"/>
                <w:szCs w:val="24"/>
                <w:lang w:eastAsia="zh-CN"/>
              </w:rPr>
            </w:pPr>
          </w:p>
        </w:tc>
        <w:tc>
          <w:tcPr>
            <w:tcW w:w="1907" w:type="dxa"/>
            <w:vMerge w:val="continue"/>
            <w:vAlign w:val="center"/>
          </w:tcPr>
          <w:p w14:paraId="40C928A9">
            <w:pPr>
              <w:adjustRightInd w:val="0"/>
              <w:snapToGrid w:val="0"/>
              <w:jc w:val="center"/>
              <w:rPr>
                <w:rFonts w:hint="eastAsia" w:cs="宋体" w:asciiTheme="minorEastAsia" w:hAnsiTheme="minorEastAsia"/>
                <w:sz w:val="24"/>
                <w:szCs w:val="24"/>
                <w:lang w:val="en-US" w:eastAsia="zh-CN"/>
              </w:rPr>
            </w:pPr>
          </w:p>
        </w:tc>
        <w:tc>
          <w:tcPr>
            <w:tcW w:w="6086" w:type="dxa"/>
            <w:vAlign w:val="center"/>
          </w:tcPr>
          <w:p w14:paraId="7D9DC7C6">
            <w:pPr>
              <w:numPr>
                <w:ilvl w:val="0"/>
                <w:numId w:val="0"/>
              </w:numPr>
              <w:adjustRightInd w:val="0"/>
              <w:snapToGrid w:val="0"/>
              <w:ind w:leftChars="0"/>
              <w:rPr>
                <w:rFonts w:hint="eastAsia" w:ascii="宋体" w:hAnsi="宋体" w:eastAsia="宋体" w:cs="宋体"/>
                <w:sz w:val="24"/>
                <w:szCs w:val="24"/>
                <w:lang w:eastAsia="zh-CN"/>
              </w:rPr>
            </w:pPr>
            <w:r>
              <w:rPr>
                <w:rFonts w:hint="eastAsia" w:ascii="宋体" w:hAnsi="宋体" w:eastAsia="宋体" w:cs="宋体"/>
                <w:sz w:val="24"/>
                <w:szCs w:val="24"/>
                <w:lang w:eastAsia="zh-CN"/>
              </w:rPr>
              <w:t>【运营支持】（6分）</w:t>
            </w:r>
          </w:p>
          <w:p w14:paraId="7CE4AD45">
            <w:pPr>
              <w:numPr>
                <w:ilvl w:val="0"/>
                <w:numId w:val="0"/>
              </w:numPr>
              <w:adjustRightInd w:val="0"/>
              <w:snapToGrid w:val="0"/>
              <w:ind w:leftChars="0"/>
              <w:rPr>
                <w:rFonts w:hint="eastAsia" w:ascii="宋体" w:hAnsi="宋体" w:eastAsia="宋体" w:cs="宋体"/>
                <w:sz w:val="24"/>
                <w:szCs w:val="24"/>
                <w:lang w:eastAsia="zh-CN"/>
              </w:rPr>
            </w:pPr>
          </w:p>
          <w:p w14:paraId="7344E732">
            <w:pPr>
              <w:numPr>
                <w:ilvl w:val="0"/>
                <w:numId w:val="0"/>
              </w:numPr>
              <w:adjustRightInd w:val="0"/>
              <w:snapToGrid w:val="0"/>
              <w:ind w:leftChars="0"/>
              <w:rPr>
                <w:rFonts w:hint="eastAsia" w:ascii="宋体" w:hAnsi="宋体" w:eastAsia="宋体" w:cs="宋体"/>
                <w:sz w:val="24"/>
                <w:szCs w:val="24"/>
                <w:lang w:eastAsia="zh-CN"/>
              </w:rPr>
            </w:pPr>
            <w:r>
              <w:rPr>
                <w:rFonts w:hint="eastAsia" w:ascii="宋体" w:hAnsi="宋体" w:eastAsia="宋体" w:cs="宋体"/>
                <w:sz w:val="24"/>
                <w:szCs w:val="24"/>
                <w:lang w:eastAsia="zh-CN"/>
              </w:rPr>
              <w:t>A.具有针对小红书平台特性制定投放策略的能力及案例，包括但不限于KOL内容选择、投放规划等。策略清晰、适配需求且可执行度高；</w:t>
            </w:r>
          </w:p>
          <w:p w14:paraId="7FE62310">
            <w:pPr>
              <w:numPr>
                <w:ilvl w:val="0"/>
                <w:numId w:val="0"/>
              </w:numPr>
              <w:adjustRightInd w:val="0"/>
              <w:snapToGrid w:val="0"/>
              <w:ind w:leftChars="0"/>
              <w:rPr>
                <w:rFonts w:hint="eastAsia" w:ascii="宋体" w:hAnsi="宋体" w:eastAsia="宋体" w:cs="宋体"/>
                <w:sz w:val="24"/>
                <w:szCs w:val="24"/>
                <w:lang w:eastAsia="zh-CN"/>
              </w:rPr>
            </w:pPr>
            <w:r>
              <w:rPr>
                <w:rFonts w:hint="eastAsia" w:ascii="宋体" w:hAnsi="宋体" w:eastAsia="宋体" w:cs="宋体"/>
                <w:sz w:val="24"/>
                <w:szCs w:val="24"/>
                <w:lang w:eastAsia="zh-CN"/>
              </w:rPr>
              <w:t>B.具有内容发布后，数据追踪及监控能力。针对社交媒体各类突发负面舆情，有行之有效的应对策略与沟通技巧</w:t>
            </w:r>
          </w:p>
          <w:p w14:paraId="6DC20530">
            <w:pPr>
              <w:numPr>
                <w:ilvl w:val="0"/>
                <w:numId w:val="0"/>
              </w:numPr>
              <w:adjustRightInd w:val="0"/>
              <w:snapToGrid w:val="0"/>
              <w:ind w:leftChars="0"/>
              <w:rPr>
                <w:rFonts w:hint="eastAsia" w:ascii="宋体" w:hAnsi="宋体" w:eastAsia="宋体" w:cs="宋体"/>
                <w:sz w:val="24"/>
                <w:szCs w:val="24"/>
                <w:lang w:eastAsia="zh-CN"/>
              </w:rPr>
            </w:pPr>
            <w:r>
              <w:rPr>
                <w:rFonts w:hint="eastAsia" w:ascii="宋体" w:hAnsi="宋体" w:eastAsia="宋体" w:cs="宋体"/>
                <w:sz w:val="24"/>
                <w:szCs w:val="24"/>
                <w:lang w:eastAsia="zh-CN"/>
              </w:rPr>
              <w:t>C.具有较强的博主约束力，所有博主的报价在执行期内均可执行发布、不可进行涨价。</w:t>
            </w:r>
          </w:p>
          <w:p w14:paraId="406DED34">
            <w:pPr>
              <w:numPr>
                <w:ilvl w:val="0"/>
                <w:numId w:val="0"/>
              </w:numPr>
              <w:adjustRightInd w:val="0"/>
              <w:snapToGrid w:val="0"/>
              <w:ind w:leftChars="0"/>
              <w:rPr>
                <w:rFonts w:hint="eastAsia" w:ascii="宋体" w:hAnsi="宋体" w:eastAsia="宋体" w:cs="宋体"/>
                <w:sz w:val="24"/>
                <w:szCs w:val="24"/>
                <w:lang w:eastAsia="zh-CN"/>
              </w:rPr>
            </w:pPr>
          </w:p>
          <w:p w14:paraId="0DAA6F16">
            <w:pPr>
              <w:numPr>
                <w:ilvl w:val="0"/>
                <w:numId w:val="0"/>
              </w:numPr>
              <w:adjustRightInd w:val="0"/>
              <w:snapToGrid w:val="0"/>
              <w:ind w:leftChars="0"/>
              <w:rPr>
                <w:rFonts w:hint="eastAsia" w:ascii="宋体" w:hAnsi="宋体" w:eastAsia="宋体" w:cs="宋体"/>
                <w:sz w:val="24"/>
                <w:szCs w:val="24"/>
                <w:lang w:eastAsia="zh-CN"/>
              </w:rPr>
            </w:pPr>
            <w:r>
              <w:rPr>
                <w:rFonts w:hint="eastAsia" w:ascii="宋体" w:hAnsi="宋体" w:eastAsia="宋体" w:cs="宋体"/>
                <w:sz w:val="24"/>
                <w:szCs w:val="24"/>
                <w:lang w:eastAsia="zh-CN"/>
              </w:rPr>
              <w:t>B.评分标准:以上三条需求，需提供案例支撑，每匹配一条得（2分），全部匹配得（6分）。</w:t>
            </w:r>
          </w:p>
        </w:tc>
        <w:tc>
          <w:tcPr>
            <w:tcW w:w="1354" w:type="dxa"/>
            <w:vAlign w:val="center"/>
          </w:tcPr>
          <w:p w14:paraId="2576A2DB">
            <w:pPr>
              <w:spacing w:line="360" w:lineRule="auto"/>
              <w:jc w:val="center"/>
              <w:rPr>
                <w:rFonts w:hint="default" w:cs="宋体" w:asciiTheme="minorEastAsia" w:hAnsiTheme="minorEastAsia"/>
                <w:sz w:val="24"/>
                <w:szCs w:val="24"/>
                <w:lang w:val="en-US" w:eastAsia="zh-CN"/>
              </w:rPr>
            </w:pPr>
            <w:r>
              <w:rPr>
                <w:rFonts w:hint="eastAsia" w:cs="宋体" w:asciiTheme="minorEastAsia" w:hAnsiTheme="minorEastAsia"/>
                <w:sz w:val="24"/>
                <w:szCs w:val="24"/>
                <w:lang w:val="en-US" w:eastAsia="zh-CN"/>
              </w:rPr>
              <w:t>6</w:t>
            </w:r>
          </w:p>
        </w:tc>
      </w:tr>
      <w:tr w14:paraId="6E252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0" w:hRule="atLeast"/>
          <w:jc w:val="center"/>
        </w:trPr>
        <w:tc>
          <w:tcPr>
            <w:tcW w:w="1412" w:type="dxa"/>
            <w:vMerge w:val="continue"/>
            <w:vAlign w:val="center"/>
          </w:tcPr>
          <w:p w14:paraId="554F1C73">
            <w:pPr>
              <w:adjustRightInd w:val="0"/>
              <w:snapToGrid w:val="0"/>
              <w:jc w:val="center"/>
              <w:rPr>
                <w:rFonts w:hint="eastAsia" w:cs="宋体" w:asciiTheme="minorEastAsia" w:hAnsiTheme="minorEastAsia"/>
                <w:kern w:val="0"/>
                <w:sz w:val="24"/>
                <w:szCs w:val="24"/>
                <w:lang w:eastAsia="zh-CN"/>
              </w:rPr>
            </w:pPr>
          </w:p>
        </w:tc>
        <w:tc>
          <w:tcPr>
            <w:tcW w:w="1907" w:type="dxa"/>
            <w:vMerge w:val="continue"/>
            <w:vAlign w:val="center"/>
          </w:tcPr>
          <w:p w14:paraId="65EB9CF4">
            <w:pPr>
              <w:adjustRightInd w:val="0"/>
              <w:snapToGrid w:val="0"/>
              <w:jc w:val="center"/>
              <w:rPr>
                <w:rFonts w:hint="eastAsia" w:cs="宋体" w:asciiTheme="minorEastAsia" w:hAnsiTheme="minorEastAsia"/>
                <w:sz w:val="24"/>
                <w:szCs w:val="24"/>
                <w:lang w:val="en-US" w:eastAsia="zh-CN"/>
              </w:rPr>
            </w:pPr>
          </w:p>
        </w:tc>
        <w:tc>
          <w:tcPr>
            <w:tcW w:w="6086" w:type="dxa"/>
            <w:vAlign w:val="center"/>
          </w:tcPr>
          <w:p w14:paraId="2CE5DED7">
            <w:pPr>
              <w:numPr>
                <w:ilvl w:val="0"/>
                <w:numId w:val="0"/>
              </w:numPr>
              <w:adjustRightInd w:val="0"/>
              <w:snapToGrid w:val="0"/>
              <w:ind w:leftChars="0"/>
              <w:rPr>
                <w:rFonts w:hint="eastAsia" w:ascii="宋体" w:hAnsi="宋体" w:eastAsia="宋体" w:cs="宋体"/>
                <w:sz w:val="24"/>
                <w:szCs w:val="24"/>
                <w:lang w:eastAsia="zh-CN"/>
              </w:rPr>
            </w:pPr>
            <w:r>
              <w:rPr>
                <w:rFonts w:hint="eastAsia" w:ascii="宋体" w:hAnsi="宋体" w:eastAsia="宋体" w:cs="宋体"/>
                <w:sz w:val="24"/>
                <w:szCs w:val="24"/>
                <w:lang w:eastAsia="zh-CN"/>
              </w:rPr>
              <w:t>【后端支持】（4分）</w:t>
            </w:r>
          </w:p>
          <w:p w14:paraId="7F936283">
            <w:pPr>
              <w:numPr>
                <w:ilvl w:val="0"/>
                <w:numId w:val="0"/>
              </w:numPr>
              <w:adjustRightInd w:val="0"/>
              <w:snapToGrid w:val="0"/>
              <w:ind w:leftChars="0"/>
              <w:rPr>
                <w:rFonts w:hint="eastAsia" w:ascii="宋体" w:hAnsi="宋体" w:eastAsia="宋体" w:cs="宋体"/>
                <w:sz w:val="24"/>
                <w:szCs w:val="24"/>
                <w:lang w:eastAsia="zh-CN"/>
              </w:rPr>
            </w:pPr>
          </w:p>
          <w:p w14:paraId="56E10B8F">
            <w:pPr>
              <w:numPr>
                <w:ilvl w:val="0"/>
                <w:numId w:val="0"/>
              </w:numPr>
              <w:adjustRightInd w:val="0"/>
              <w:snapToGrid w:val="0"/>
              <w:ind w:leftChars="0"/>
              <w:rPr>
                <w:rFonts w:hint="eastAsia" w:ascii="宋体" w:hAnsi="宋体" w:eastAsia="宋体" w:cs="宋体"/>
                <w:sz w:val="24"/>
                <w:szCs w:val="24"/>
                <w:lang w:eastAsia="zh-CN"/>
              </w:rPr>
            </w:pPr>
            <w:r>
              <w:rPr>
                <w:rFonts w:hint="eastAsia" w:ascii="宋体" w:hAnsi="宋体" w:eastAsia="宋体" w:cs="宋体"/>
                <w:sz w:val="24"/>
                <w:szCs w:val="24"/>
                <w:lang w:eastAsia="zh-CN"/>
              </w:rPr>
              <w:t>A.项目涉及跨市执行，服务商需派遣专人对接组织，我方不再另行负责人工成本和执行差旅；</w:t>
            </w:r>
          </w:p>
          <w:p w14:paraId="62B0C774">
            <w:pPr>
              <w:numPr>
                <w:ilvl w:val="0"/>
                <w:numId w:val="0"/>
              </w:numPr>
              <w:adjustRightInd w:val="0"/>
              <w:snapToGrid w:val="0"/>
              <w:ind w:leftChars="0"/>
              <w:rPr>
                <w:rFonts w:hint="eastAsia" w:ascii="宋体" w:hAnsi="宋体" w:eastAsia="宋体" w:cs="宋体"/>
                <w:sz w:val="24"/>
                <w:szCs w:val="24"/>
                <w:lang w:eastAsia="zh-CN"/>
              </w:rPr>
            </w:pPr>
          </w:p>
          <w:p w14:paraId="66F8F1B6">
            <w:pPr>
              <w:numPr>
                <w:ilvl w:val="0"/>
                <w:numId w:val="0"/>
              </w:numPr>
              <w:adjustRightInd w:val="0"/>
              <w:snapToGrid w:val="0"/>
              <w:ind w:leftChars="0"/>
              <w:rPr>
                <w:rFonts w:hint="eastAsia" w:ascii="宋体" w:hAnsi="宋体" w:eastAsia="宋体" w:cs="宋体"/>
                <w:sz w:val="24"/>
                <w:szCs w:val="24"/>
                <w:lang w:eastAsia="zh-CN"/>
              </w:rPr>
            </w:pPr>
            <w:r>
              <w:rPr>
                <w:rFonts w:hint="eastAsia" w:ascii="宋体" w:hAnsi="宋体" w:eastAsia="宋体" w:cs="宋体"/>
                <w:sz w:val="24"/>
                <w:szCs w:val="24"/>
                <w:lang w:eastAsia="zh-CN"/>
              </w:rPr>
              <w:t>B.评分标准：可以满足得（4分），无法满足得（1分）</w:t>
            </w:r>
          </w:p>
        </w:tc>
        <w:tc>
          <w:tcPr>
            <w:tcW w:w="1354" w:type="dxa"/>
            <w:vAlign w:val="center"/>
          </w:tcPr>
          <w:p w14:paraId="79D3ABCE">
            <w:pPr>
              <w:spacing w:line="360" w:lineRule="auto"/>
              <w:jc w:val="center"/>
              <w:rPr>
                <w:rFonts w:hint="default" w:cs="宋体" w:asciiTheme="minorEastAsia" w:hAnsiTheme="minorEastAsia"/>
                <w:sz w:val="24"/>
                <w:szCs w:val="24"/>
                <w:lang w:val="en-US" w:eastAsia="zh-CN"/>
              </w:rPr>
            </w:pPr>
            <w:r>
              <w:rPr>
                <w:rFonts w:hint="eastAsia" w:cs="宋体" w:asciiTheme="minorEastAsia" w:hAnsiTheme="minorEastAsia"/>
                <w:sz w:val="24"/>
                <w:szCs w:val="24"/>
                <w:lang w:val="en-US" w:eastAsia="zh-CN"/>
              </w:rPr>
              <w:t>4</w:t>
            </w:r>
          </w:p>
        </w:tc>
      </w:tr>
      <w:tr w14:paraId="7756C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0" w:hRule="atLeast"/>
          <w:jc w:val="center"/>
        </w:trPr>
        <w:tc>
          <w:tcPr>
            <w:tcW w:w="1412" w:type="dxa"/>
            <w:vMerge w:val="continue"/>
            <w:vAlign w:val="center"/>
          </w:tcPr>
          <w:p w14:paraId="54DB4B8F">
            <w:pPr>
              <w:adjustRightInd w:val="0"/>
              <w:snapToGrid w:val="0"/>
              <w:jc w:val="center"/>
              <w:rPr>
                <w:rFonts w:hint="eastAsia" w:cs="宋体" w:asciiTheme="minorEastAsia" w:hAnsiTheme="minorEastAsia"/>
                <w:kern w:val="0"/>
                <w:sz w:val="24"/>
                <w:szCs w:val="24"/>
                <w:lang w:eastAsia="zh-CN"/>
              </w:rPr>
            </w:pPr>
          </w:p>
        </w:tc>
        <w:tc>
          <w:tcPr>
            <w:tcW w:w="1907" w:type="dxa"/>
            <w:vMerge w:val="continue"/>
            <w:vAlign w:val="center"/>
          </w:tcPr>
          <w:p w14:paraId="7C4A50A8">
            <w:pPr>
              <w:adjustRightInd w:val="0"/>
              <w:snapToGrid w:val="0"/>
              <w:jc w:val="center"/>
              <w:rPr>
                <w:rFonts w:hint="eastAsia" w:cs="宋体" w:asciiTheme="minorEastAsia" w:hAnsiTheme="minorEastAsia"/>
                <w:sz w:val="24"/>
                <w:szCs w:val="24"/>
                <w:lang w:val="en-US" w:eastAsia="zh-CN"/>
              </w:rPr>
            </w:pPr>
          </w:p>
        </w:tc>
        <w:tc>
          <w:tcPr>
            <w:tcW w:w="6086" w:type="dxa"/>
            <w:vAlign w:val="center"/>
          </w:tcPr>
          <w:p w14:paraId="4F2E639D">
            <w:pPr>
              <w:numPr>
                <w:ilvl w:val="0"/>
                <w:numId w:val="0"/>
              </w:numPr>
              <w:adjustRightInd w:val="0"/>
              <w:snapToGrid w:val="0"/>
              <w:ind w:leftChars="0"/>
              <w:rPr>
                <w:rFonts w:hint="eastAsia" w:ascii="宋体" w:hAnsi="宋体" w:eastAsia="宋体" w:cs="宋体"/>
                <w:sz w:val="24"/>
                <w:szCs w:val="24"/>
                <w:lang w:eastAsia="zh-CN"/>
              </w:rPr>
            </w:pPr>
            <w:r>
              <w:rPr>
                <w:rFonts w:hint="eastAsia" w:ascii="宋体" w:hAnsi="宋体" w:eastAsia="宋体" w:cs="宋体"/>
                <w:sz w:val="24"/>
                <w:szCs w:val="24"/>
                <w:lang w:eastAsia="zh-CN"/>
              </w:rPr>
              <w:t>【达人示例】（5分）</w:t>
            </w:r>
          </w:p>
          <w:p w14:paraId="33D06BD4">
            <w:pPr>
              <w:numPr>
                <w:ilvl w:val="0"/>
                <w:numId w:val="0"/>
              </w:numPr>
              <w:adjustRightInd w:val="0"/>
              <w:snapToGrid w:val="0"/>
              <w:ind w:leftChars="0"/>
              <w:rPr>
                <w:rFonts w:hint="eastAsia" w:ascii="宋体" w:hAnsi="宋体" w:eastAsia="宋体" w:cs="宋体"/>
                <w:sz w:val="24"/>
                <w:szCs w:val="24"/>
                <w:lang w:eastAsia="zh-CN"/>
              </w:rPr>
            </w:pPr>
          </w:p>
          <w:p w14:paraId="50342527">
            <w:pPr>
              <w:numPr>
                <w:ilvl w:val="0"/>
                <w:numId w:val="0"/>
              </w:numPr>
              <w:adjustRightInd w:val="0"/>
              <w:snapToGrid w:val="0"/>
              <w:ind w:leftChars="0"/>
              <w:rPr>
                <w:rFonts w:hint="eastAsia" w:ascii="宋体" w:hAnsi="宋体" w:eastAsia="宋体" w:cs="宋体"/>
                <w:sz w:val="24"/>
                <w:szCs w:val="24"/>
                <w:lang w:eastAsia="zh-CN"/>
              </w:rPr>
            </w:pPr>
            <w:r>
              <w:rPr>
                <w:rFonts w:hint="eastAsia" w:ascii="宋体" w:hAnsi="宋体" w:eastAsia="宋体" w:cs="宋体"/>
                <w:sz w:val="24"/>
                <w:szCs w:val="24"/>
                <w:lang w:eastAsia="zh-CN"/>
              </w:rPr>
              <w:t>A.供应商根据世纪游轮画像，提供不少于5人的达人示例，并写明推荐理由</w:t>
            </w:r>
          </w:p>
          <w:p w14:paraId="4869B1FF">
            <w:pPr>
              <w:numPr>
                <w:ilvl w:val="0"/>
                <w:numId w:val="0"/>
              </w:numPr>
              <w:adjustRightInd w:val="0"/>
              <w:snapToGrid w:val="0"/>
              <w:ind w:leftChars="0"/>
              <w:rPr>
                <w:rFonts w:hint="eastAsia" w:ascii="宋体" w:hAnsi="宋体" w:eastAsia="宋体" w:cs="宋体"/>
                <w:sz w:val="24"/>
                <w:szCs w:val="24"/>
                <w:lang w:eastAsia="zh-CN"/>
              </w:rPr>
            </w:pPr>
          </w:p>
          <w:p w14:paraId="52B9E1BC">
            <w:pPr>
              <w:numPr>
                <w:ilvl w:val="0"/>
                <w:numId w:val="0"/>
              </w:numPr>
              <w:adjustRightInd w:val="0"/>
              <w:snapToGrid w:val="0"/>
              <w:ind w:leftChars="0"/>
              <w:rPr>
                <w:rFonts w:hint="eastAsia" w:ascii="宋体" w:hAnsi="宋体" w:eastAsia="宋体" w:cs="宋体"/>
                <w:sz w:val="24"/>
                <w:szCs w:val="24"/>
                <w:lang w:eastAsia="zh-CN"/>
              </w:rPr>
            </w:pPr>
            <w:r>
              <w:rPr>
                <w:rFonts w:hint="eastAsia" w:ascii="宋体" w:hAnsi="宋体" w:eastAsia="宋体" w:cs="宋体"/>
                <w:sz w:val="24"/>
                <w:szCs w:val="24"/>
                <w:lang w:eastAsia="zh-CN"/>
              </w:rPr>
              <w:t>B.提供达人账号≥5得（5分），无法提供得（1分），若任一达人不符合世纪游轮小红书平台画像不得分</w:t>
            </w:r>
          </w:p>
        </w:tc>
        <w:tc>
          <w:tcPr>
            <w:tcW w:w="1354" w:type="dxa"/>
            <w:vAlign w:val="center"/>
          </w:tcPr>
          <w:p w14:paraId="0341AABE">
            <w:pPr>
              <w:spacing w:line="360" w:lineRule="auto"/>
              <w:jc w:val="center"/>
              <w:rPr>
                <w:rFonts w:hint="default" w:cs="宋体" w:asciiTheme="minorEastAsia" w:hAnsiTheme="minorEastAsia"/>
                <w:sz w:val="24"/>
                <w:szCs w:val="24"/>
                <w:lang w:val="en-US" w:eastAsia="zh-CN"/>
              </w:rPr>
            </w:pPr>
            <w:r>
              <w:rPr>
                <w:rFonts w:hint="eastAsia" w:cs="宋体" w:asciiTheme="minorEastAsia" w:hAnsiTheme="minorEastAsia"/>
                <w:sz w:val="24"/>
                <w:szCs w:val="24"/>
                <w:lang w:val="en-US" w:eastAsia="zh-CN"/>
              </w:rPr>
              <w:t>5</w:t>
            </w:r>
          </w:p>
        </w:tc>
      </w:tr>
      <w:tr w14:paraId="58FF9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0" w:hRule="atLeast"/>
          <w:jc w:val="center"/>
        </w:trPr>
        <w:tc>
          <w:tcPr>
            <w:tcW w:w="1412" w:type="dxa"/>
            <w:vAlign w:val="center"/>
          </w:tcPr>
          <w:p w14:paraId="5C474802">
            <w:pPr>
              <w:adjustRightInd w:val="0"/>
              <w:snapToGrid w:val="0"/>
              <w:jc w:val="center"/>
              <w:rPr>
                <w:rFonts w:hint="default" w:cs="宋体" w:asciiTheme="minorEastAsia" w:hAnsiTheme="minorEastAsia"/>
                <w:kern w:val="0"/>
                <w:sz w:val="24"/>
                <w:szCs w:val="24"/>
                <w:lang w:val="en-US" w:eastAsia="zh-CN"/>
              </w:rPr>
            </w:pPr>
            <w:r>
              <w:rPr>
                <w:rFonts w:hint="eastAsia" w:cs="宋体" w:asciiTheme="minorEastAsia" w:hAnsiTheme="minorEastAsia"/>
                <w:kern w:val="0"/>
                <w:sz w:val="24"/>
                <w:szCs w:val="24"/>
                <w:lang w:val="en-US" w:eastAsia="zh-CN"/>
              </w:rPr>
              <w:t>2.2.4</w:t>
            </w:r>
          </w:p>
        </w:tc>
        <w:tc>
          <w:tcPr>
            <w:tcW w:w="1907" w:type="dxa"/>
            <w:vAlign w:val="center"/>
          </w:tcPr>
          <w:p w14:paraId="2C200EA9">
            <w:pPr>
              <w:adjustRightInd w:val="0"/>
              <w:snapToGrid w:val="0"/>
              <w:jc w:val="center"/>
              <w:rPr>
                <w:rFonts w:hint="eastAsia" w:cs="宋体" w:asciiTheme="minorEastAsia" w:hAnsiTheme="minorEastAsia"/>
                <w:sz w:val="24"/>
                <w:szCs w:val="24"/>
                <w:lang w:val="en-US" w:eastAsia="zh-CN"/>
              </w:rPr>
            </w:pPr>
            <w:r>
              <w:rPr>
                <w:rFonts w:hint="eastAsia" w:cs="宋体" w:asciiTheme="minorEastAsia" w:hAnsiTheme="minorEastAsia"/>
                <w:sz w:val="24"/>
                <w:szCs w:val="24"/>
                <w:lang w:val="en-US" w:eastAsia="zh-CN"/>
              </w:rPr>
              <w:t>团队评分标准</w:t>
            </w:r>
          </w:p>
        </w:tc>
        <w:tc>
          <w:tcPr>
            <w:tcW w:w="6086" w:type="dxa"/>
            <w:vAlign w:val="center"/>
          </w:tcPr>
          <w:p w14:paraId="4945D1E3">
            <w:pPr>
              <w:numPr>
                <w:ilvl w:val="0"/>
                <w:numId w:val="0"/>
              </w:numPr>
              <w:adjustRightInd w:val="0"/>
              <w:snapToGrid w:val="0"/>
              <w:ind w:leftChars="0"/>
              <w:rPr>
                <w:rFonts w:hint="eastAsia" w:ascii="宋体" w:hAnsi="宋体" w:eastAsia="宋体" w:cs="宋体"/>
                <w:sz w:val="24"/>
                <w:szCs w:val="24"/>
                <w:lang w:eastAsia="zh-CN"/>
              </w:rPr>
            </w:pPr>
            <w:r>
              <w:rPr>
                <w:rFonts w:hint="eastAsia" w:ascii="宋体" w:hAnsi="宋体" w:eastAsia="宋体" w:cs="宋体"/>
                <w:sz w:val="24"/>
                <w:szCs w:val="24"/>
                <w:lang w:eastAsia="zh-CN"/>
              </w:rPr>
              <w:t>【平台官方资质】（5分）</w:t>
            </w:r>
          </w:p>
          <w:p w14:paraId="7FE74280">
            <w:pPr>
              <w:numPr>
                <w:ilvl w:val="0"/>
                <w:numId w:val="0"/>
              </w:numPr>
              <w:adjustRightInd w:val="0"/>
              <w:snapToGrid w:val="0"/>
              <w:ind w:leftChars="0"/>
              <w:rPr>
                <w:rFonts w:hint="eastAsia" w:ascii="宋体" w:hAnsi="宋体" w:eastAsia="宋体" w:cs="宋体"/>
                <w:sz w:val="24"/>
                <w:szCs w:val="24"/>
                <w:lang w:eastAsia="zh-CN"/>
              </w:rPr>
            </w:pPr>
          </w:p>
          <w:p w14:paraId="6E7B43C9">
            <w:pPr>
              <w:numPr>
                <w:ilvl w:val="0"/>
                <w:numId w:val="0"/>
              </w:numPr>
              <w:adjustRightInd w:val="0"/>
              <w:snapToGrid w:val="0"/>
              <w:ind w:leftChars="0"/>
              <w:rPr>
                <w:rFonts w:hint="eastAsia" w:ascii="宋体" w:hAnsi="宋体" w:eastAsia="宋体" w:cs="宋体"/>
                <w:sz w:val="24"/>
                <w:szCs w:val="24"/>
                <w:lang w:eastAsia="zh-CN"/>
              </w:rPr>
            </w:pPr>
            <w:r>
              <w:rPr>
                <w:rFonts w:hint="eastAsia" w:ascii="宋体" w:hAnsi="宋体" w:eastAsia="宋体" w:cs="宋体"/>
                <w:sz w:val="24"/>
                <w:szCs w:val="24"/>
                <w:lang w:eastAsia="zh-CN"/>
              </w:rPr>
              <w:t>供应商为小红书平台指定代理商得（5分），不符合得（1分）</w:t>
            </w:r>
          </w:p>
        </w:tc>
        <w:tc>
          <w:tcPr>
            <w:tcW w:w="1354" w:type="dxa"/>
            <w:vAlign w:val="center"/>
          </w:tcPr>
          <w:p w14:paraId="0C656814">
            <w:pPr>
              <w:spacing w:line="360" w:lineRule="auto"/>
              <w:jc w:val="center"/>
              <w:rPr>
                <w:rFonts w:hint="default" w:cs="宋体" w:asciiTheme="minorEastAsia" w:hAnsiTheme="minorEastAsia"/>
                <w:sz w:val="24"/>
                <w:szCs w:val="24"/>
                <w:lang w:val="en-US" w:eastAsia="zh-CN"/>
              </w:rPr>
            </w:pPr>
            <w:r>
              <w:rPr>
                <w:rFonts w:hint="eastAsia" w:cs="宋体" w:asciiTheme="minorEastAsia" w:hAnsiTheme="minorEastAsia"/>
                <w:sz w:val="24"/>
                <w:szCs w:val="24"/>
                <w:lang w:val="en-US" w:eastAsia="zh-CN"/>
              </w:rPr>
              <w:t>5</w:t>
            </w:r>
          </w:p>
        </w:tc>
      </w:tr>
      <w:tr w14:paraId="78B30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0" w:hRule="atLeast"/>
          <w:jc w:val="center"/>
        </w:trPr>
        <w:tc>
          <w:tcPr>
            <w:tcW w:w="1412" w:type="dxa"/>
            <w:vMerge w:val="restart"/>
            <w:vAlign w:val="center"/>
          </w:tcPr>
          <w:p w14:paraId="29E94257">
            <w:pPr>
              <w:adjustRightInd w:val="0"/>
              <w:snapToGrid w:val="0"/>
              <w:jc w:val="center"/>
              <w:rPr>
                <w:rFonts w:hint="default" w:cs="宋体" w:asciiTheme="minorEastAsia" w:hAnsiTheme="minorEastAsia"/>
                <w:kern w:val="0"/>
                <w:sz w:val="24"/>
                <w:szCs w:val="24"/>
                <w:lang w:val="en-US" w:eastAsia="zh-CN"/>
              </w:rPr>
            </w:pPr>
            <w:r>
              <w:rPr>
                <w:rFonts w:hint="eastAsia" w:cs="宋体" w:asciiTheme="minorEastAsia" w:hAnsiTheme="minorEastAsia"/>
                <w:kern w:val="0"/>
                <w:sz w:val="24"/>
                <w:szCs w:val="24"/>
                <w:lang w:val="en-US" w:eastAsia="zh-CN"/>
              </w:rPr>
              <w:t>2.2.5</w:t>
            </w:r>
          </w:p>
        </w:tc>
        <w:tc>
          <w:tcPr>
            <w:tcW w:w="1907" w:type="dxa"/>
            <w:vMerge w:val="restart"/>
            <w:vAlign w:val="center"/>
          </w:tcPr>
          <w:p w14:paraId="7FD6779C">
            <w:pPr>
              <w:adjustRightInd w:val="0"/>
              <w:snapToGrid w:val="0"/>
              <w:jc w:val="center"/>
              <w:rPr>
                <w:rFonts w:hint="eastAsia" w:cs="宋体" w:asciiTheme="minorEastAsia" w:hAnsiTheme="minorEastAsia"/>
                <w:sz w:val="24"/>
                <w:szCs w:val="24"/>
                <w:lang w:val="en-US" w:eastAsia="zh-CN"/>
              </w:rPr>
            </w:pPr>
            <w:r>
              <w:rPr>
                <w:rFonts w:hint="eastAsia" w:cs="宋体" w:asciiTheme="minorEastAsia" w:hAnsiTheme="minorEastAsia"/>
                <w:sz w:val="24"/>
                <w:szCs w:val="24"/>
                <w:lang w:val="en-US" w:eastAsia="zh-CN"/>
              </w:rPr>
              <w:t>技术评分标准</w:t>
            </w:r>
          </w:p>
        </w:tc>
        <w:tc>
          <w:tcPr>
            <w:tcW w:w="6086" w:type="dxa"/>
            <w:vAlign w:val="center"/>
          </w:tcPr>
          <w:p w14:paraId="3C314664">
            <w:pPr>
              <w:numPr>
                <w:ilvl w:val="0"/>
                <w:numId w:val="0"/>
              </w:numPr>
              <w:adjustRightInd w:val="0"/>
              <w:snapToGrid w:val="0"/>
              <w:ind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【曝光量评分】（10分）</w:t>
            </w:r>
          </w:p>
          <w:p w14:paraId="2865AA10">
            <w:pPr>
              <w:numPr>
                <w:ilvl w:val="0"/>
                <w:numId w:val="0"/>
              </w:numPr>
              <w:adjustRightInd w:val="0"/>
              <w:snapToGrid w:val="0"/>
              <w:ind w:leftChars="0"/>
              <w:rPr>
                <w:rFonts w:hint="eastAsia" w:ascii="宋体" w:hAnsi="宋体" w:eastAsia="宋体" w:cs="宋体"/>
                <w:sz w:val="24"/>
                <w:szCs w:val="24"/>
                <w:lang w:val="en-US" w:eastAsia="zh-CN"/>
              </w:rPr>
            </w:pPr>
          </w:p>
          <w:p w14:paraId="26E70494">
            <w:pPr>
              <w:numPr>
                <w:ilvl w:val="0"/>
                <w:numId w:val="0"/>
              </w:numPr>
              <w:adjustRightInd w:val="0"/>
              <w:snapToGrid w:val="0"/>
              <w:ind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供应商在满足项目需求的基础上，以丰富的资源和执行能力达成最佳宣传效果。</w:t>
            </w:r>
          </w:p>
          <w:p w14:paraId="102E92CD">
            <w:pPr>
              <w:numPr>
                <w:ilvl w:val="0"/>
                <w:numId w:val="0"/>
              </w:numPr>
              <w:adjustRightInd w:val="0"/>
              <w:snapToGrid w:val="0"/>
              <w:ind w:leftChars="0"/>
              <w:rPr>
                <w:rFonts w:hint="eastAsia" w:ascii="宋体" w:hAnsi="宋体" w:eastAsia="宋体" w:cs="宋体"/>
                <w:sz w:val="24"/>
                <w:szCs w:val="24"/>
                <w:lang w:val="en-US" w:eastAsia="zh-CN"/>
              </w:rPr>
            </w:pPr>
          </w:p>
          <w:p w14:paraId="6E792CE7">
            <w:pPr>
              <w:numPr>
                <w:ilvl w:val="0"/>
                <w:numId w:val="0"/>
              </w:numPr>
              <w:adjustRightInd w:val="0"/>
              <w:snapToGrid w:val="0"/>
              <w:ind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A.总曝光量越高，得分越高（0-10分）</w:t>
            </w:r>
          </w:p>
          <w:p w14:paraId="2CAFABAB">
            <w:pPr>
              <w:numPr>
                <w:ilvl w:val="0"/>
                <w:numId w:val="0"/>
              </w:numPr>
              <w:adjustRightInd w:val="0"/>
              <w:snapToGrid w:val="0"/>
              <w:ind w:leftChars="0"/>
              <w:rPr>
                <w:rFonts w:hint="eastAsia" w:ascii="宋体" w:hAnsi="宋体" w:eastAsia="宋体" w:cs="宋体"/>
                <w:sz w:val="24"/>
                <w:szCs w:val="24"/>
                <w:lang w:val="en-US" w:eastAsia="zh-CN"/>
              </w:rPr>
            </w:pPr>
          </w:p>
          <w:p w14:paraId="7A402E7A">
            <w:pPr>
              <w:numPr>
                <w:ilvl w:val="0"/>
                <w:numId w:val="0"/>
              </w:numPr>
              <w:adjustRightInd w:val="0"/>
              <w:snapToGrid w:val="0"/>
              <w:ind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B.评分标准：总曝光最高的得10分，其次依次递减4分</w:t>
            </w:r>
          </w:p>
        </w:tc>
        <w:tc>
          <w:tcPr>
            <w:tcW w:w="1354" w:type="dxa"/>
            <w:vAlign w:val="center"/>
          </w:tcPr>
          <w:p w14:paraId="0D1C82A6">
            <w:pPr>
              <w:spacing w:line="360" w:lineRule="auto"/>
              <w:jc w:val="center"/>
              <w:rPr>
                <w:rFonts w:hint="default" w:cs="宋体" w:asciiTheme="minorEastAsia" w:hAnsiTheme="minorEastAsia"/>
                <w:sz w:val="24"/>
                <w:szCs w:val="24"/>
                <w:lang w:val="en-US" w:eastAsia="zh-CN"/>
              </w:rPr>
            </w:pPr>
            <w:r>
              <w:rPr>
                <w:rFonts w:hint="eastAsia" w:cs="宋体" w:asciiTheme="minorEastAsia" w:hAnsiTheme="minorEastAsia"/>
                <w:sz w:val="24"/>
                <w:szCs w:val="24"/>
                <w:lang w:val="en-US" w:eastAsia="zh-CN"/>
              </w:rPr>
              <w:t>10</w:t>
            </w:r>
          </w:p>
        </w:tc>
      </w:tr>
      <w:tr w14:paraId="5CAAE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0" w:hRule="atLeast"/>
          <w:jc w:val="center"/>
        </w:trPr>
        <w:tc>
          <w:tcPr>
            <w:tcW w:w="1412" w:type="dxa"/>
            <w:vMerge w:val="continue"/>
            <w:vAlign w:val="center"/>
          </w:tcPr>
          <w:p w14:paraId="17EBB4CB">
            <w:pPr>
              <w:adjustRightInd w:val="0"/>
              <w:snapToGrid w:val="0"/>
              <w:jc w:val="center"/>
              <w:rPr>
                <w:rFonts w:hint="eastAsia" w:cs="宋体" w:asciiTheme="minorEastAsia" w:hAnsiTheme="minorEastAsia"/>
                <w:kern w:val="0"/>
                <w:sz w:val="24"/>
                <w:szCs w:val="24"/>
                <w:lang w:val="en-US" w:eastAsia="zh-CN"/>
              </w:rPr>
            </w:pPr>
          </w:p>
        </w:tc>
        <w:tc>
          <w:tcPr>
            <w:tcW w:w="1907" w:type="dxa"/>
            <w:vMerge w:val="continue"/>
            <w:vAlign w:val="center"/>
          </w:tcPr>
          <w:p w14:paraId="39E25C1C">
            <w:pPr>
              <w:adjustRightInd w:val="0"/>
              <w:snapToGrid w:val="0"/>
              <w:jc w:val="center"/>
              <w:rPr>
                <w:rFonts w:hint="eastAsia" w:cs="宋体" w:asciiTheme="minorEastAsia" w:hAnsiTheme="minorEastAsia"/>
                <w:sz w:val="24"/>
                <w:szCs w:val="24"/>
                <w:lang w:val="en-US" w:eastAsia="zh-CN"/>
              </w:rPr>
            </w:pPr>
          </w:p>
        </w:tc>
        <w:tc>
          <w:tcPr>
            <w:tcW w:w="6086" w:type="dxa"/>
            <w:vAlign w:val="center"/>
          </w:tcPr>
          <w:p w14:paraId="782F5944">
            <w:pPr>
              <w:numPr>
                <w:ilvl w:val="0"/>
                <w:numId w:val="0"/>
              </w:numPr>
              <w:adjustRightInd w:val="0"/>
              <w:snapToGrid w:val="0"/>
              <w:ind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【投放成交评分】（10分）</w:t>
            </w:r>
          </w:p>
          <w:p w14:paraId="210F9F4C">
            <w:pPr>
              <w:numPr>
                <w:ilvl w:val="0"/>
                <w:numId w:val="0"/>
              </w:numPr>
              <w:adjustRightInd w:val="0"/>
              <w:snapToGrid w:val="0"/>
              <w:ind w:leftChars="0"/>
              <w:rPr>
                <w:rFonts w:hint="eastAsia" w:ascii="宋体" w:hAnsi="宋体" w:eastAsia="宋体" w:cs="宋体"/>
                <w:sz w:val="24"/>
                <w:szCs w:val="24"/>
                <w:lang w:val="en-US" w:eastAsia="zh-CN"/>
              </w:rPr>
            </w:pPr>
          </w:p>
          <w:p w14:paraId="435D61D5">
            <w:pPr>
              <w:numPr>
                <w:ilvl w:val="0"/>
                <w:numId w:val="0"/>
              </w:numPr>
              <w:adjustRightInd w:val="0"/>
              <w:snapToGrid w:val="0"/>
              <w:ind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供应商以5万投放费用为例</w:t>
            </w:r>
          </w:p>
          <w:p w14:paraId="16CB03B2">
            <w:pPr>
              <w:numPr>
                <w:ilvl w:val="0"/>
                <w:numId w:val="0"/>
              </w:numPr>
              <w:adjustRightInd w:val="0"/>
              <w:snapToGrid w:val="0"/>
              <w:ind w:leftChars="0"/>
              <w:rPr>
                <w:rFonts w:hint="eastAsia" w:ascii="宋体" w:hAnsi="宋体" w:eastAsia="宋体" w:cs="宋体"/>
                <w:sz w:val="24"/>
                <w:szCs w:val="24"/>
                <w:lang w:val="en-US" w:eastAsia="zh-CN"/>
              </w:rPr>
            </w:pPr>
          </w:p>
          <w:p w14:paraId="79BE5EFA">
            <w:pPr>
              <w:numPr>
                <w:ilvl w:val="0"/>
                <w:numId w:val="0"/>
              </w:numPr>
              <w:adjustRightInd w:val="0"/>
              <w:snapToGrid w:val="0"/>
              <w:ind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A.总成交越高，得分越高（0-10分）</w:t>
            </w:r>
          </w:p>
          <w:p w14:paraId="5371A931">
            <w:pPr>
              <w:numPr>
                <w:ilvl w:val="0"/>
                <w:numId w:val="0"/>
              </w:numPr>
              <w:adjustRightInd w:val="0"/>
              <w:snapToGrid w:val="0"/>
              <w:ind w:leftChars="0"/>
              <w:rPr>
                <w:rFonts w:hint="eastAsia" w:ascii="宋体" w:hAnsi="宋体" w:eastAsia="宋体" w:cs="宋体"/>
                <w:sz w:val="24"/>
                <w:szCs w:val="24"/>
                <w:lang w:val="en-US" w:eastAsia="zh-CN"/>
              </w:rPr>
            </w:pPr>
          </w:p>
          <w:p w14:paraId="5FA7BBA8">
            <w:pPr>
              <w:numPr>
                <w:ilvl w:val="0"/>
                <w:numId w:val="0"/>
              </w:numPr>
              <w:adjustRightInd w:val="0"/>
              <w:snapToGrid w:val="0"/>
              <w:ind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B. 评分标准：总成交最高的得10分，其次依次递减4分</w:t>
            </w:r>
          </w:p>
        </w:tc>
        <w:tc>
          <w:tcPr>
            <w:tcW w:w="1354" w:type="dxa"/>
            <w:vAlign w:val="center"/>
          </w:tcPr>
          <w:p w14:paraId="5A0181F6">
            <w:pPr>
              <w:spacing w:line="360" w:lineRule="auto"/>
              <w:jc w:val="center"/>
              <w:rPr>
                <w:rFonts w:hint="default" w:cs="宋体" w:asciiTheme="minorEastAsia" w:hAnsiTheme="minorEastAsia"/>
                <w:sz w:val="24"/>
                <w:szCs w:val="24"/>
                <w:lang w:val="en-US" w:eastAsia="zh-CN"/>
              </w:rPr>
            </w:pPr>
            <w:r>
              <w:rPr>
                <w:rFonts w:hint="eastAsia" w:cs="宋体" w:asciiTheme="minorEastAsia" w:hAnsiTheme="minorEastAsia"/>
                <w:sz w:val="24"/>
                <w:szCs w:val="24"/>
                <w:lang w:val="en-US" w:eastAsia="zh-CN"/>
              </w:rPr>
              <w:t>10</w:t>
            </w:r>
          </w:p>
        </w:tc>
      </w:tr>
      <w:tr w14:paraId="365C5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1412" w:type="dxa"/>
            <w:vAlign w:val="center"/>
          </w:tcPr>
          <w:p w14:paraId="2204BBE1">
            <w:pPr>
              <w:adjustRightInd w:val="0"/>
              <w:snapToGrid w:val="0"/>
              <w:jc w:val="center"/>
              <w:rPr>
                <w:rFonts w:hint="default" w:cs="宋体" w:asciiTheme="minorEastAsia" w:hAnsiTheme="minorEastAsia"/>
                <w:kern w:val="0"/>
                <w:sz w:val="24"/>
                <w:szCs w:val="24"/>
                <w:lang w:val="en-US" w:eastAsia="zh-CN"/>
              </w:rPr>
            </w:pPr>
            <w:r>
              <w:rPr>
                <w:rFonts w:hint="eastAsia" w:cs="宋体" w:asciiTheme="minorEastAsia" w:hAnsiTheme="minorEastAsia"/>
                <w:kern w:val="0"/>
                <w:sz w:val="24"/>
                <w:szCs w:val="24"/>
                <w:lang w:val="en-US" w:eastAsia="zh-CN"/>
              </w:rPr>
              <w:t>2.2.6</w:t>
            </w:r>
          </w:p>
        </w:tc>
        <w:tc>
          <w:tcPr>
            <w:tcW w:w="1907" w:type="dxa"/>
            <w:vAlign w:val="center"/>
          </w:tcPr>
          <w:p w14:paraId="0CAE7B11">
            <w:pPr>
              <w:adjustRightInd w:val="0"/>
              <w:snapToGrid w:val="0"/>
              <w:jc w:val="center"/>
              <w:rPr>
                <w:rFonts w:hint="default" w:cs="宋体" w:asciiTheme="minorEastAsia" w:hAnsiTheme="minorEastAsia"/>
                <w:sz w:val="24"/>
                <w:szCs w:val="24"/>
                <w:lang w:val="en-US" w:eastAsia="zh-CN"/>
              </w:rPr>
            </w:pPr>
            <w:r>
              <w:rPr>
                <w:rFonts w:hint="eastAsia" w:cs="宋体" w:asciiTheme="minorEastAsia" w:hAnsiTheme="minorEastAsia"/>
                <w:sz w:val="24"/>
                <w:szCs w:val="24"/>
                <w:lang w:val="en-US" w:eastAsia="zh-CN"/>
              </w:rPr>
              <w:t>报价评分标准</w:t>
            </w:r>
          </w:p>
        </w:tc>
        <w:tc>
          <w:tcPr>
            <w:tcW w:w="6086" w:type="dxa"/>
            <w:vAlign w:val="center"/>
          </w:tcPr>
          <w:p w14:paraId="7CEB86B6">
            <w:pPr>
              <w:numPr>
                <w:ilvl w:val="0"/>
                <w:numId w:val="0"/>
              </w:numPr>
              <w:adjustRightInd w:val="0"/>
              <w:snapToGrid w:val="0"/>
              <w:ind w:leftChars="0"/>
              <w:rPr>
                <w:rFonts w:hint="eastAsia" w:cs="宋体" w:asciiTheme="minorEastAsia" w:hAnsiTheme="minorEastAsia"/>
                <w:sz w:val="24"/>
                <w:szCs w:val="24"/>
                <w:lang w:val="en-US" w:eastAsia="zh-CN"/>
              </w:rPr>
            </w:pPr>
            <w:r>
              <w:rPr>
                <w:rFonts w:hint="eastAsia" w:cs="宋体" w:asciiTheme="minorEastAsia" w:hAnsiTheme="minorEastAsia"/>
                <w:sz w:val="24"/>
                <w:szCs w:val="24"/>
                <w:lang w:val="en-US" w:eastAsia="zh-CN"/>
              </w:rPr>
              <w:t>由审计监察部根据投标单位的方案提供控标价，</w:t>
            </w:r>
          </w:p>
          <w:p w14:paraId="149D2511">
            <w:pPr>
              <w:numPr>
                <w:ilvl w:val="0"/>
                <w:numId w:val="0"/>
              </w:numPr>
              <w:adjustRightInd w:val="0"/>
              <w:snapToGrid w:val="0"/>
              <w:ind w:leftChars="0"/>
              <w:rPr>
                <w:rFonts w:hint="eastAsia" w:ascii="宋体" w:hAnsi="宋体" w:eastAsia="宋体" w:cs="宋体"/>
                <w:sz w:val="24"/>
                <w:szCs w:val="24"/>
                <w:lang w:eastAsia="zh-CN"/>
              </w:rPr>
            </w:pPr>
            <w:r>
              <w:rPr>
                <w:rFonts w:hint="eastAsia" w:cs="宋体" w:asciiTheme="minorEastAsia" w:hAnsiTheme="minorEastAsia"/>
                <w:sz w:val="24"/>
                <w:szCs w:val="24"/>
                <w:lang w:val="en-US" w:eastAsia="zh-CN"/>
              </w:rPr>
              <w:t>根据投标公司数量，根据投标报价，由低到高降序打分（即报价越低的得分越高），依次递减2分</w:t>
            </w:r>
          </w:p>
        </w:tc>
        <w:tc>
          <w:tcPr>
            <w:tcW w:w="1354" w:type="dxa"/>
            <w:vAlign w:val="center"/>
          </w:tcPr>
          <w:p w14:paraId="3C972BF9">
            <w:pPr>
              <w:spacing w:line="360" w:lineRule="auto"/>
              <w:jc w:val="center"/>
              <w:rPr>
                <w:rFonts w:hint="default" w:cs="宋体" w:asciiTheme="minorEastAsia" w:hAnsiTheme="minorEastAsia"/>
                <w:sz w:val="24"/>
                <w:szCs w:val="24"/>
                <w:lang w:val="en-US" w:eastAsia="zh-CN"/>
              </w:rPr>
            </w:pPr>
            <w:r>
              <w:rPr>
                <w:rFonts w:hint="eastAsia" w:cs="宋体" w:asciiTheme="minorEastAsia" w:hAnsiTheme="minorEastAsia"/>
                <w:sz w:val="24"/>
                <w:szCs w:val="24"/>
                <w:lang w:val="en-US" w:eastAsia="zh-CN"/>
              </w:rPr>
              <w:t>10</w:t>
            </w:r>
          </w:p>
        </w:tc>
      </w:tr>
    </w:tbl>
    <w:p w14:paraId="13D866CD">
      <w:pPr>
        <w:pStyle w:val="19"/>
        <w:numPr>
          <w:ilvl w:val="0"/>
          <w:numId w:val="8"/>
        </w:numPr>
        <w:spacing w:line="360" w:lineRule="auto"/>
        <w:ind w:firstLineChars="0"/>
        <w:rPr>
          <w:rFonts w:cs="宋体" w:asciiTheme="minorEastAsia" w:hAnsiTheme="minorEastAsia"/>
          <w:b/>
          <w:bCs/>
          <w:sz w:val="24"/>
        </w:rPr>
      </w:pPr>
      <w:r>
        <w:rPr>
          <w:rFonts w:hint="eastAsia" w:cs="宋体" w:asciiTheme="minorEastAsia" w:hAnsiTheme="minorEastAsia"/>
          <w:b/>
          <w:bCs/>
          <w:sz w:val="24"/>
        </w:rPr>
        <w:t>评标方法</w:t>
      </w:r>
    </w:p>
    <w:p w14:paraId="347ED8A0">
      <w:pPr>
        <w:spacing w:line="360" w:lineRule="auto"/>
        <w:ind w:firstLine="424" w:firstLineChars="177"/>
        <w:rPr>
          <w:rFonts w:asciiTheme="minorEastAsia" w:hAnsiTheme="minorEastAsia"/>
          <w:sz w:val="24"/>
          <w:szCs w:val="24"/>
        </w:rPr>
      </w:pPr>
      <w:r>
        <w:rPr>
          <w:rFonts w:hint="eastAsia" w:asciiTheme="minorEastAsia" w:hAnsiTheme="minorEastAsia"/>
          <w:sz w:val="24"/>
          <w:szCs w:val="24"/>
        </w:rPr>
        <w:t>本次评标采用综合评分法。评标委员会对满足招标文件实质性要求的投标文件，按照本章规定的评分标准进行打分，并按得分由高到低顺序推荐中标候选人。</w:t>
      </w:r>
    </w:p>
    <w:p w14:paraId="167D29B1">
      <w:pPr>
        <w:pStyle w:val="19"/>
        <w:numPr>
          <w:ilvl w:val="0"/>
          <w:numId w:val="8"/>
        </w:numPr>
        <w:spacing w:line="360" w:lineRule="auto"/>
        <w:ind w:firstLineChars="0"/>
        <w:rPr>
          <w:rFonts w:cs="宋体" w:asciiTheme="minorEastAsia" w:hAnsiTheme="minorEastAsia"/>
          <w:b/>
          <w:bCs/>
          <w:sz w:val="24"/>
        </w:rPr>
      </w:pPr>
      <w:r>
        <w:rPr>
          <w:rFonts w:hint="eastAsia" w:cs="宋体" w:asciiTheme="minorEastAsia" w:hAnsiTheme="minorEastAsia"/>
          <w:b/>
          <w:bCs/>
          <w:sz w:val="24"/>
        </w:rPr>
        <w:t>评标程序</w:t>
      </w:r>
    </w:p>
    <w:p w14:paraId="439E763E">
      <w:pPr>
        <w:spacing w:line="360" w:lineRule="auto"/>
        <w:ind w:firstLine="424" w:firstLineChars="177"/>
        <w:rPr>
          <w:rFonts w:asciiTheme="minorEastAsia" w:hAnsiTheme="minorEastAsia"/>
          <w:sz w:val="24"/>
          <w:szCs w:val="24"/>
        </w:rPr>
      </w:pPr>
      <w:r>
        <w:rPr>
          <w:rFonts w:hint="eastAsia" w:asciiTheme="minorEastAsia" w:hAnsiTheme="minorEastAsia"/>
          <w:sz w:val="24"/>
          <w:szCs w:val="24"/>
        </w:rPr>
        <w:t>5.1 初步评审</w:t>
      </w:r>
    </w:p>
    <w:p w14:paraId="0E87F828">
      <w:pPr>
        <w:snapToGrid w:val="0"/>
        <w:spacing w:line="360" w:lineRule="auto"/>
        <w:ind w:firstLine="424" w:firstLineChars="177"/>
        <w:rPr>
          <w:rFonts w:asciiTheme="minorEastAsia" w:hAnsiTheme="minorEastAsia"/>
          <w:sz w:val="24"/>
          <w:szCs w:val="24"/>
        </w:rPr>
      </w:pPr>
      <w:r>
        <w:rPr>
          <w:rFonts w:hint="eastAsia" w:asciiTheme="minorEastAsia" w:hAnsiTheme="minorEastAsia"/>
          <w:sz w:val="24"/>
          <w:szCs w:val="24"/>
        </w:rPr>
        <w:t>5.1.1 评标委员会可以要求投标人提交第三章“投标人资格要求”规定的有关证明和证件的原件，以便核验。评标委员会依据本章第2.1款的规定对投标文件进行初步评审。有一项不符合评审标准的，评标委员会应当否决其投标。</w:t>
      </w:r>
    </w:p>
    <w:p w14:paraId="1486B959">
      <w:pPr>
        <w:snapToGrid w:val="0"/>
        <w:spacing w:line="360" w:lineRule="auto"/>
        <w:ind w:firstLine="424" w:firstLineChars="177"/>
        <w:rPr>
          <w:rFonts w:asciiTheme="minorEastAsia" w:hAnsiTheme="minorEastAsia"/>
          <w:sz w:val="24"/>
          <w:szCs w:val="24"/>
        </w:rPr>
      </w:pPr>
      <w:r>
        <w:rPr>
          <w:rFonts w:hint="eastAsia" w:asciiTheme="minorEastAsia" w:hAnsiTheme="minorEastAsia"/>
          <w:sz w:val="24"/>
          <w:szCs w:val="24"/>
        </w:rPr>
        <w:t>5.1.2 投标人有以下情形之一的，评标委员会应当否决其投标：</w:t>
      </w:r>
    </w:p>
    <w:p w14:paraId="649C5C32">
      <w:pPr>
        <w:pStyle w:val="19"/>
        <w:numPr>
          <w:ilvl w:val="0"/>
          <w:numId w:val="9"/>
        </w:numPr>
        <w:snapToGrid w:val="0"/>
        <w:spacing w:line="360" w:lineRule="auto"/>
        <w:ind w:firstLine="6" w:firstLineChars="0"/>
        <w:rPr>
          <w:rStyle w:val="24"/>
          <w:rFonts w:asciiTheme="minorEastAsia" w:hAnsiTheme="minorEastAsia"/>
          <w:lang w:val="zh-CN"/>
        </w:rPr>
      </w:pPr>
      <w:r>
        <w:rPr>
          <w:rStyle w:val="24"/>
          <w:rFonts w:hint="eastAsia" w:asciiTheme="minorEastAsia" w:hAnsiTheme="minorEastAsia"/>
          <w:lang w:val="zh-CN"/>
        </w:rPr>
        <w:t>投标文件没有对招标文件的实质性要求和条件作出响应；</w:t>
      </w:r>
    </w:p>
    <w:p w14:paraId="7B0409C7">
      <w:pPr>
        <w:pStyle w:val="19"/>
        <w:numPr>
          <w:ilvl w:val="0"/>
          <w:numId w:val="9"/>
        </w:numPr>
        <w:snapToGrid w:val="0"/>
        <w:spacing w:line="360" w:lineRule="auto"/>
        <w:ind w:firstLine="6" w:firstLineChars="0"/>
        <w:rPr>
          <w:rStyle w:val="24"/>
          <w:rFonts w:asciiTheme="minorEastAsia" w:hAnsiTheme="minorEastAsia"/>
          <w:lang w:val="zh-CN"/>
        </w:rPr>
      </w:pPr>
      <w:r>
        <w:rPr>
          <w:rStyle w:val="24"/>
          <w:rFonts w:hint="eastAsia" w:asciiTheme="minorEastAsia" w:hAnsiTheme="minorEastAsia"/>
          <w:lang w:val="zh-CN"/>
        </w:rPr>
        <w:t>有串通投标、弄虚作假、行贿等违法行为。</w:t>
      </w:r>
    </w:p>
    <w:p w14:paraId="08D6E0E6">
      <w:pPr>
        <w:spacing w:line="360" w:lineRule="auto"/>
        <w:ind w:firstLine="424" w:firstLineChars="177"/>
        <w:rPr>
          <w:rFonts w:asciiTheme="minorEastAsia" w:hAnsiTheme="minorEastAsia"/>
          <w:sz w:val="24"/>
          <w:szCs w:val="24"/>
        </w:rPr>
      </w:pPr>
      <w:r>
        <w:rPr>
          <w:rFonts w:hint="eastAsia" w:asciiTheme="minorEastAsia" w:hAnsiTheme="minorEastAsia"/>
          <w:sz w:val="24"/>
          <w:szCs w:val="24"/>
        </w:rPr>
        <w:t>5.1.3 投标报价有算术错误及其他错误的，评标委员会按以下原则要求投标人对投标报价进行修正，并要求投标人书面澄清确认。投标人拒不澄清确认的，评标委员会应当否决其投标：</w:t>
      </w:r>
    </w:p>
    <w:p w14:paraId="4E1DA302">
      <w:pPr>
        <w:pStyle w:val="19"/>
        <w:numPr>
          <w:ilvl w:val="0"/>
          <w:numId w:val="10"/>
        </w:numPr>
        <w:snapToGrid w:val="0"/>
        <w:spacing w:line="360" w:lineRule="auto"/>
        <w:ind w:firstLine="6" w:firstLineChars="0"/>
        <w:rPr>
          <w:rStyle w:val="24"/>
          <w:rFonts w:asciiTheme="minorEastAsia" w:hAnsiTheme="minorEastAsia"/>
          <w:lang w:val="zh-CN"/>
        </w:rPr>
      </w:pPr>
      <w:r>
        <w:rPr>
          <w:rStyle w:val="24"/>
          <w:rFonts w:hint="eastAsia" w:asciiTheme="minorEastAsia" w:hAnsiTheme="minorEastAsia"/>
          <w:lang w:val="zh-CN"/>
        </w:rPr>
        <w:t>投标文件中的大写金额与小写金额不一致的，以大写金额为准；</w:t>
      </w:r>
    </w:p>
    <w:p w14:paraId="50DC102E">
      <w:pPr>
        <w:pStyle w:val="19"/>
        <w:numPr>
          <w:ilvl w:val="0"/>
          <w:numId w:val="10"/>
        </w:numPr>
        <w:snapToGrid w:val="0"/>
        <w:spacing w:line="360" w:lineRule="auto"/>
        <w:ind w:firstLine="6" w:firstLineChars="0"/>
        <w:rPr>
          <w:rStyle w:val="24"/>
          <w:rFonts w:asciiTheme="minorEastAsia" w:hAnsiTheme="minorEastAsia"/>
          <w:lang w:val="zh-CN"/>
        </w:rPr>
      </w:pPr>
      <w:r>
        <w:rPr>
          <w:rStyle w:val="24"/>
          <w:rFonts w:hint="eastAsia" w:asciiTheme="minorEastAsia" w:hAnsiTheme="minorEastAsia"/>
          <w:lang w:val="zh-CN"/>
        </w:rPr>
        <w:t>总价金额与单价金额不一致的，以单价金额为准，但单价金额小数点有明显错误的除外；</w:t>
      </w:r>
    </w:p>
    <w:p w14:paraId="36BEA3F6">
      <w:pPr>
        <w:pStyle w:val="19"/>
        <w:numPr>
          <w:ilvl w:val="0"/>
          <w:numId w:val="10"/>
        </w:numPr>
        <w:snapToGrid w:val="0"/>
        <w:spacing w:line="360" w:lineRule="auto"/>
        <w:ind w:firstLine="6" w:firstLineChars="0"/>
        <w:rPr>
          <w:rStyle w:val="24"/>
          <w:rFonts w:asciiTheme="minorEastAsia" w:hAnsiTheme="minorEastAsia"/>
          <w:lang w:val="zh-CN"/>
        </w:rPr>
      </w:pPr>
      <w:r>
        <w:rPr>
          <w:rStyle w:val="24"/>
          <w:rFonts w:hint="eastAsia" w:asciiTheme="minorEastAsia" w:hAnsiTheme="minorEastAsia"/>
          <w:lang w:val="zh-CN"/>
        </w:rPr>
        <w:t>投标报价为各分项报价金额之和，投标报价与分项报价的合价不一致的，应以各分项合价累计数为准，修正投标报价；</w:t>
      </w:r>
    </w:p>
    <w:p w14:paraId="0B6BA1F6">
      <w:pPr>
        <w:pStyle w:val="19"/>
        <w:numPr>
          <w:ilvl w:val="0"/>
          <w:numId w:val="10"/>
        </w:numPr>
        <w:snapToGrid w:val="0"/>
        <w:spacing w:line="360" w:lineRule="auto"/>
        <w:ind w:firstLine="6" w:firstLineChars="0"/>
        <w:rPr>
          <w:rStyle w:val="24"/>
          <w:rFonts w:asciiTheme="minorEastAsia" w:hAnsiTheme="minorEastAsia"/>
          <w:lang w:val="zh-CN"/>
        </w:rPr>
      </w:pPr>
      <w:r>
        <w:rPr>
          <w:rStyle w:val="24"/>
          <w:rFonts w:hint="eastAsia" w:asciiTheme="minorEastAsia" w:hAnsiTheme="minorEastAsia"/>
          <w:lang w:val="zh-CN"/>
        </w:rPr>
        <w:t>如果分项报价中存在缺漏项，则视为缺漏项价格已包含在其他分项报价之中。</w:t>
      </w:r>
    </w:p>
    <w:p w14:paraId="59EE6ECD">
      <w:pPr>
        <w:spacing w:line="360" w:lineRule="auto"/>
        <w:ind w:firstLine="424" w:firstLineChars="177"/>
        <w:rPr>
          <w:rFonts w:asciiTheme="minorEastAsia" w:hAnsiTheme="minorEastAsia"/>
          <w:sz w:val="24"/>
          <w:szCs w:val="24"/>
        </w:rPr>
      </w:pPr>
      <w:r>
        <w:rPr>
          <w:rFonts w:hint="eastAsia" w:asciiTheme="minorEastAsia" w:hAnsiTheme="minorEastAsia"/>
          <w:sz w:val="24"/>
          <w:szCs w:val="24"/>
        </w:rPr>
        <w:t>5.1.4初步评审中评审原则标注为“重要指标”的，均为实质性要求。投标文件响应有负偏离的、属于投标文件存在重大偏差，评标委员会将否决其投标。</w:t>
      </w:r>
    </w:p>
    <w:p w14:paraId="2CA0300C">
      <w:pPr>
        <w:spacing w:line="360" w:lineRule="auto"/>
        <w:ind w:firstLine="424" w:firstLineChars="177"/>
        <w:rPr>
          <w:rFonts w:asciiTheme="minorEastAsia" w:hAnsiTheme="minorEastAsia"/>
          <w:sz w:val="24"/>
          <w:szCs w:val="24"/>
        </w:rPr>
      </w:pPr>
      <w:r>
        <w:rPr>
          <w:rFonts w:hint="eastAsia" w:asciiTheme="minorEastAsia" w:hAnsiTheme="minorEastAsia"/>
          <w:sz w:val="24"/>
          <w:szCs w:val="24"/>
        </w:rPr>
        <w:t>5.2 详细评审</w:t>
      </w:r>
    </w:p>
    <w:p w14:paraId="5B46F6D9">
      <w:pPr>
        <w:spacing w:line="360" w:lineRule="auto"/>
        <w:ind w:firstLine="424" w:firstLineChars="177"/>
        <w:rPr>
          <w:rFonts w:asciiTheme="minorEastAsia" w:hAnsiTheme="minorEastAsia"/>
          <w:sz w:val="24"/>
          <w:szCs w:val="24"/>
        </w:rPr>
      </w:pPr>
      <w:r>
        <w:rPr>
          <w:rFonts w:hint="eastAsia" w:asciiTheme="minorEastAsia" w:hAnsiTheme="minorEastAsia"/>
          <w:sz w:val="24"/>
          <w:szCs w:val="24"/>
        </w:rPr>
        <w:t>5.2.1 评标委员会按本章第2.2款规定的量化因素和分值进行打分，并计算出综合评估得分。</w:t>
      </w:r>
    </w:p>
    <w:p w14:paraId="1F499859">
      <w:pPr>
        <w:pStyle w:val="19"/>
        <w:numPr>
          <w:ilvl w:val="0"/>
          <w:numId w:val="11"/>
        </w:numPr>
        <w:snapToGrid w:val="0"/>
        <w:spacing w:line="360" w:lineRule="auto"/>
        <w:ind w:firstLine="6" w:firstLineChars="0"/>
        <w:rPr>
          <w:rStyle w:val="24"/>
          <w:rFonts w:asciiTheme="minorEastAsia" w:hAnsiTheme="minorEastAsia"/>
          <w:color w:val="auto"/>
          <w:lang w:val="zh-CN"/>
        </w:rPr>
      </w:pPr>
      <w:r>
        <w:rPr>
          <w:rStyle w:val="24"/>
          <w:rFonts w:hint="eastAsia" w:asciiTheme="minorEastAsia" w:hAnsiTheme="minorEastAsia"/>
          <w:color w:val="auto"/>
          <w:lang w:val="zh-CN"/>
        </w:rPr>
        <w:t>按本章第2.2.2目规定的评审因素和分值对商务部分计算出得分A；</w:t>
      </w:r>
    </w:p>
    <w:p w14:paraId="79A649C4">
      <w:pPr>
        <w:pStyle w:val="19"/>
        <w:numPr>
          <w:ilvl w:val="0"/>
          <w:numId w:val="11"/>
        </w:numPr>
        <w:snapToGrid w:val="0"/>
        <w:spacing w:line="360" w:lineRule="auto"/>
        <w:ind w:firstLine="6" w:firstLineChars="0"/>
        <w:jc w:val="left"/>
        <w:rPr>
          <w:rStyle w:val="24"/>
          <w:rFonts w:asciiTheme="minorEastAsia" w:hAnsiTheme="minorEastAsia"/>
          <w:color w:val="auto"/>
          <w:lang w:val="zh-CN"/>
        </w:rPr>
      </w:pPr>
      <w:r>
        <w:rPr>
          <w:rStyle w:val="24"/>
          <w:rFonts w:hint="eastAsia" w:asciiTheme="minorEastAsia" w:hAnsiTheme="minorEastAsia"/>
          <w:color w:val="auto"/>
          <w:lang w:val="zh-CN"/>
        </w:rPr>
        <w:t>按本章第2.2.3目规定的评审因素和分值对</w:t>
      </w:r>
      <w:r>
        <w:rPr>
          <w:rStyle w:val="24"/>
          <w:rFonts w:hint="eastAsia" w:asciiTheme="minorEastAsia" w:hAnsiTheme="minorEastAsia"/>
          <w:color w:val="auto"/>
          <w:lang w:val="en-US" w:eastAsia="zh-CN"/>
        </w:rPr>
        <w:t>团队</w:t>
      </w:r>
      <w:r>
        <w:rPr>
          <w:rStyle w:val="24"/>
          <w:rFonts w:hint="eastAsia" w:asciiTheme="minorEastAsia" w:hAnsiTheme="minorEastAsia"/>
          <w:color w:val="auto"/>
          <w:lang w:val="zh-CN"/>
        </w:rPr>
        <w:t>部分计算出得分B；</w:t>
      </w:r>
    </w:p>
    <w:p w14:paraId="7ED2B8CF">
      <w:pPr>
        <w:pStyle w:val="19"/>
        <w:numPr>
          <w:ilvl w:val="0"/>
          <w:numId w:val="11"/>
        </w:numPr>
        <w:snapToGrid w:val="0"/>
        <w:spacing w:line="360" w:lineRule="auto"/>
        <w:ind w:firstLine="6" w:firstLineChars="0"/>
        <w:jc w:val="left"/>
        <w:rPr>
          <w:rStyle w:val="24"/>
          <w:rFonts w:asciiTheme="minorEastAsia" w:hAnsiTheme="minorEastAsia"/>
          <w:color w:val="auto"/>
          <w:lang w:val="zh-CN"/>
        </w:rPr>
      </w:pPr>
      <w:r>
        <w:rPr>
          <w:rStyle w:val="24"/>
          <w:rFonts w:hint="eastAsia" w:asciiTheme="minorEastAsia" w:hAnsiTheme="minorEastAsia"/>
          <w:color w:val="auto"/>
          <w:lang w:val="zh-CN"/>
        </w:rPr>
        <w:t>按本章第2.2.</w:t>
      </w:r>
      <w:r>
        <w:rPr>
          <w:rStyle w:val="24"/>
          <w:rFonts w:hint="eastAsia" w:asciiTheme="minorEastAsia" w:hAnsiTheme="minorEastAsia"/>
          <w:color w:val="auto"/>
          <w:lang w:val="en-US" w:eastAsia="zh-CN"/>
        </w:rPr>
        <w:t>4</w:t>
      </w:r>
      <w:r>
        <w:rPr>
          <w:rStyle w:val="24"/>
          <w:rFonts w:hint="eastAsia" w:asciiTheme="minorEastAsia" w:hAnsiTheme="minorEastAsia"/>
          <w:color w:val="auto"/>
          <w:lang w:val="zh-CN"/>
        </w:rPr>
        <w:t>目规定的评审因素和分值对</w:t>
      </w:r>
      <w:r>
        <w:rPr>
          <w:rStyle w:val="24"/>
          <w:rFonts w:hint="eastAsia" w:asciiTheme="minorEastAsia" w:hAnsiTheme="minorEastAsia"/>
          <w:color w:val="auto"/>
          <w:lang w:val="en-US" w:eastAsia="zh-CN"/>
        </w:rPr>
        <w:t>适配度部分</w:t>
      </w:r>
      <w:r>
        <w:rPr>
          <w:rStyle w:val="24"/>
          <w:rFonts w:hint="eastAsia" w:asciiTheme="minorEastAsia" w:hAnsiTheme="minorEastAsia"/>
          <w:color w:val="auto"/>
          <w:lang w:val="zh-CN"/>
        </w:rPr>
        <w:t>计算出得分</w:t>
      </w:r>
      <w:r>
        <w:rPr>
          <w:rStyle w:val="24"/>
          <w:rFonts w:hint="eastAsia" w:asciiTheme="minorEastAsia" w:hAnsiTheme="minorEastAsia"/>
          <w:color w:val="auto"/>
          <w:lang w:val="en-US" w:eastAsia="zh-CN"/>
        </w:rPr>
        <w:t>C；</w:t>
      </w:r>
    </w:p>
    <w:p w14:paraId="3760262F">
      <w:pPr>
        <w:pStyle w:val="19"/>
        <w:numPr>
          <w:ilvl w:val="0"/>
          <w:numId w:val="11"/>
        </w:numPr>
        <w:snapToGrid w:val="0"/>
        <w:spacing w:line="360" w:lineRule="auto"/>
        <w:ind w:firstLine="6" w:firstLineChars="0"/>
        <w:jc w:val="left"/>
        <w:rPr>
          <w:rStyle w:val="24"/>
          <w:rFonts w:asciiTheme="minorEastAsia" w:hAnsiTheme="minorEastAsia"/>
          <w:color w:val="auto"/>
          <w:lang w:val="zh-CN"/>
        </w:rPr>
      </w:pPr>
      <w:r>
        <w:rPr>
          <w:rStyle w:val="24"/>
          <w:rFonts w:hint="eastAsia" w:asciiTheme="minorEastAsia" w:hAnsiTheme="minorEastAsia"/>
          <w:color w:val="auto"/>
          <w:lang w:val="zh-CN"/>
        </w:rPr>
        <w:t>按本章第2.2.</w:t>
      </w:r>
      <w:r>
        <w:rPr>
          <w:rStyle w:val="24"/>
          <w:rFonts w:hint="eastAsia" w:asciiTheme="minorEastAsia" w:hAnsiTheme="minorEastAsia"/>
          <w:color w:val="auto"/>
          <w:lang w:val="en-US" w:eastAsia="zh-CN"/>
        </w:rPr>
        <w:t>5</w:t>
      </w:r>
      <w:r>
        <w:rPr>
          <w:rStyle w:val="24"/>
          <w:rFonts w:hint="eastAsia" w:asciiTheme="minorEastAsia" w:hAnsiTheme="minorEastAsia"/>
          <w:color w:val="auto"/>
          <w:lang w:val="zh-CN"/>
        </w:rPr>
        <w:t>目规定的评审因素和分值对</w:t>
      </w:r>
      <w:r>
        <w:rPr>
          <w:rStyle w:val="24"/>
          <w:rFonts w:hint="eastAsia" w:asciiTheme="minorEastAsia" w:hAnsiTheme="minorEastAsia"/>
          <w:color w:val="auto"/>
          <w:lang w:val="en-US" w:eastAsia="zh-CN"/>
        </w:rPr>
        <w:t>技术部分</w:t>
      </w:r>
      <w:r>
        <w:rPr>
          <w:rStyle w:val="24"/>
          <w:rFonts w:hint="eastAsia" w:asciiTheme="minorEastAsia" w:hAnsiTheme="minorEastAsia"/>
          <w:color w:val="auto"/>
          <w:lang w:val="zh-CN"/>
        </w:rPr>
        <w:t>计算出得分</w:t>
      </w:r>
      <w:r>
        <w:rPr>
          <w:rStyle w:val="24"/>
          <w:rFonts w:hint="eastAsia" w:asciiTheme="minorEastAsia" w:hAnsiTheme="minorEastAsia"/>
          <w:color w:val="auto"/>
          <w:lang w:val="en-US" w:eastAsia="zh-CN"/>
        </w:rPr>
        <w:t>D；</w:t>
      </w:r>
    </w:p>
    <w:p w14:paraId="79265CA8">
      <w:pPr>
        <w:pStyle w:val="19"/>
        <w:numPr>
          <w:ilvl w:val="0"/>
          <w:numId w:val="11"/>
        </w:numPr>
        <w:snapToGrid w:val="0"/>
        <w:spacing w:line="360" w:lineRule="auto"/>
        <w:ind w:firstLine="6" w:firstLineChars="0"/>
        <w:jc w:val="left"/>
        <w:rPr>
          <w:rStyle w:val="24"/>
          <w:rFonts w:asciiTheme="minorEastAsia" w:hAnsiTheme="minorEastAsia"/>
          <w:color w:val="auto"/>
          <w:lang w:val="zh-CN"/>
        </w:rPr>
      </w:pPr>
      <w:r>
        <w:rPr>
          <w:rStyle w:val="24"/>
          <w:rFonts w:hint="eastAsia" w:asciiTheme="minorEastAsia" w:hAnsiTheme="minorEastAsia"/>
          <w:color w:val="auto"/>
          <w:lang w:val="zh-CN"/>
        </w:rPr>
        <w:t>按本章第2.2.</w:t>
      </w:r>
      <w:r>
        <w:rPr>
          <w:rStyle w:val="24"/>
          <w:rFonts w:hint="eastAsia" w:asciiTheme="minorEastAsia" w:hAnsiTheme="minorEastAsia"/>
          <w:color w:val="auto"/>
          <w:lang w:val="en-US" w:eastAsia="zh-CN"/>
        </w:rPr>
        <w:t>6</w:t>
      </w:r>
      <w:r>
        <w:rPr>
          <w:rStyle w:val="24"/>
          <w:rFonts w:hint="eastAsia" w:asciiTheme="minorEastAsia" w:hAnsiTheme="minorEastAsia"/>
          <w:color w:val="auto"/>
          <w:lang w:val="zh-CN"/>
        </w:rPr>
        <w:t>目规定的评审因素和分值对</w:t>
      </w:r>
      <w:r>
        <w:rPr>
          <w:rStyle w:val="24"/>
          <w:rFonts w:hint="eastAsia" w:asciiTheme="minorEastAsia" w:hAnsiTheme="minorEastAsia"/>
          <w:color w:val="auto"/>
          <w:lang w:val="en-US" w:eastAsia="zh-CN"/>
        </w:rPr>
        <w:t>报价部分</w:t>
      </w:r>
      <w:r>
        <w:rPr>
          <w:rStyle w:val="24"/>
          <w:rFonts w:hint="eastAsia" w:asciiTheme="minorEastAsia" w:hAnsiTheme="minorEastAsia"/>
          <w:color w:val="auto"/>
          <w:lang w:val="zh-CN"/>
        </w:rPr>
        <w:t>计算出得分</w:t>
      </w:r>
      <w:r>
        <w:rPr>
          <w:rStyle w:val="24"/>
          <w:rFonts w:hint="eastAsia" w:asciiTheme="minorEastAsia" w:hAnsiTheme="minorEastAsia"/>
          <w:color w:val="auto"/>
          <w:lang w:val="en-US" w:eastAsia="zh-CN"/>
        </w:rPr>
        <w:t>E；</w:t>
      </w:r>
    </w:p>
    <w:p w14:paraId="526FB34E">
      <w:pPr>
        <w:spacing w:line="360" w:lineRule="auto"/>
        <w:ind w:firstLine="424" w:firstLineChars="177"/>
        <w:jc w:val="left"/>
        <w:rPr>
          <w:rFonts w:asciiTheme="minorEastAsia" w:hAnsiTheme="minorEastAsia"/>
          <w:sz w:val="24"/>
          <w:szCs w:val="24"/>
        </w:rPr>
      </w:pPr>
      <w:r>
        <w:rPr>
          <w:rFonts w:hint="eastAsia" w:asciiTheme="minorEastAsia" w:hAnsiTheme="minorEastAsia"/>
          <w:sz w:val="24"/>
          <w:szCs w:val="24"/>
        </w:rPr>
        <w:t>5.2.2 评分分值计算保留小数点后两位，小数点后第三位“四舍五入”。</w:t>
      </w:r>
    </w:p>
    <w:p w14:paraId="314CD7ED">
      <w:pPr>
        <w:spacing w:line="360" w:lineRule="auto"/>
        <w:ind w:firstLine="424" w:firstLineChars="177"/>
        <w:jc w:val="left"/>
        <w:rPr>
          <w:rFonts w:asciiTheme="minorEastAsia" w:hAnsiTheme="minorEastAsia"/>
          <w:sz w:val="24"/>
          <w:szCs w:val="24"/>
        </w:rPr>
      </w:pPr>
      <w:r>
        <w:rPr>
          <w:rFonts w:hint="eastAsia" w:asciiTheme="minorEastAsia" w:hAnsiTheme="minorEastAsia"/>
          <w:sz w:val="24"/>
          <w:szCs w:val="24"/>
        </w:rPr>
        <w:t>5.2.3 投标人得分=A+B</w:t>
      </w:r>
      <w:r>
        <w:rPr>
          <w:rFonts w:hint="eastAsia" w:asciiTheme="minorEastAsia" w:hAnsiTheme="minorEastAsia"/>
          <w:sz w:val="24"/>
          <w:szCs w:val="24"/>
          <w:lang w:val="en-US" w:eastAsia="zh-CN"/>
        </w:rPr>
        <w:t>+C+D+E</w:t>
      </w:r>
      <w:r>
        <w:rPr>
          <w:rFonts w:hint="eastAsia" w:asciiTheme="minorEastAsia" w:hAnsiTheme="minorEastAsia"/>
          <w:sz w:val="24"/>
          <w:szCs w:val="24"/>
        </w:rPr>
        <w:t>。</w:t>
      </w:r>
    </w:p>
    <w:p w14:paraId="1EEF84A6">
      <w:pPr>
        <w:spacing w:line="360" w:lineRule="auto"/>
        <w:ind w:firstLine="424" w:firstLineChars="177"/>
        <w:jc w:val="left"/>
        <w:rPr>
          <w:rFonts w:asciiTheme="minorEastAsia" w:hAnsiTheme="minorEastAsia"/>
          <w:sz w:val="24"/>
          <w:szCs w:val="24"/>
        </w:rPr>
      </w:pPr>
      <w:r>
        <w:rPr>
          <w:rFonts w:hint="eastAsia" w:asciiTheme="minorEastAsia" w:hAnsiTheme="minorEastAsia"/>
          <w:sz w:val="24"/>
          <w:szCs w:val="24"/>
        </w:rPr>
        <w:t>5.3 投标文件的澄清</w:t>
      </w:r>
    </w:p>
    <w:p w14:paraId="3486757A">
      <w:pPr>
        <w:spacing w:line="360" w:lineRule="auto"/>
        <w:ind w:firstLine="424" w:firstLineChars="177"/>
        <w:rPr>
          <w:rFonts w:asciiTheme="minorEastAsia" w:hAnsiTheme="minorEastAsia"/>
          <w:sz w:val="24"/>
          <w:szCs w:val="24"/>
        </w:rPr>
      </w:pPr>
      <w:r>
        <w:rPr>
          <w:rFonts w:hint="eastAsia" w:asciiTheme="minorEastAsia" w:hAnsiTheme="minorEastAsia"/>
          <w:sz w:val="24"/>
          <w:szCs w:val="24"/>
        </w:rPr>
        <w:t>5.3.1 在评标过程中，评标委员会可以电话会议或书面形式要求投标人对投标文件中含义不明确、对同类问题表述不一致或者有明显文字和计算错误的内容作必要的澄清、说明或补正。澄清、说明或补正应以书面方式进行。</w:t>
      </w:r>
    </w:p>
    <w:p w14:paraId="0377F068">
      <w:pPr>
        <w:spacing w:line="360" w:lineRule="auto"/>
        <w:ind w:firstLine="424" w:firstLineChars="177"/>
        <w:rPr>
          <w:rFonts w:asciiTheme="minorEastAsia" w:hAnsiTheme="minorEastAsia"/>
          <w:sz w:val="24"/>
          <w:szCs w:val="24"/>
        </w:rPr>
      </w:pPr>
    </w:p>
    <w:p w14:paraId="44B8FD17">
      <w:pPr>
        <w:pStyle w:val="19"/>
        <w:widowControl/>
        <w:numPr>
          <w:ilvl w:val="0"/>
          <w:numId w:val="1"/>
        </w:numPr>
        <w:shd w:val="clear" w:color="auto" w:fill="FFFFFF"/>
        <w:spacing w:line="360" w:lineRule="auto"/>
        <w:ind w:firstLineChars="0"/>
        <w:jc w:val="left"/>
        <w:outlineLvl w:val="1"/>
        <w:rPr>
          <w:rFonts w:cs="Arial" w:asciiTheme="minorEastAsia" w:hAnsiTheme="minorEastAsia"/>
          <w:b/>
          <w:kern w:val="0"/>
          <w:sz w:val="32"/>
          <w:szCs w:val="32"/>
        </w:rPr>
      </w:pPr>
      <w:r>
        <w:rPr>
          <w:rFonts w:hint="eastAsia" w:cs="Arial" w:asciiTheme="minorEastAsia" w:hAnsiTheme="minorEastAsia"/>
          <w:b/>
          <w:kern w:val="0"/>
          <w:sz w:val="32"/>
          <w:szCs w:val="32"/>
        </w:rPr>
        <w:t>投标文件的递交</w:t>
      </w:r>
    </w:p>
    <w:p w14:paraId="60C58FD4">
      <w:pPr>
        <w:pStyle w:val="19"/>
        <w:numPr>
          <w:ilvl w:val="0"/>
          <w:numId w:val="12"/>
        </w:numPr>
        <w:spacing w:line="360" w:lineRule="auto"/>
        <w:ind w:left="426" w:right="-143" w:rightChars="-68" w:hanging="426" w:firstLineChars="0"/>
        <w:rPr>
          <w:rFonts w:asciiTheme="minorEastAsia" w:hAnsiTheme="minorEastAsia"/>
          <w:sz w:val="24"/>
          <w:szCs w:val="24"/>
        </w:rPr>
      </w:pPr>
      <w:r>
        <w:rPr>
          <w:rFonts w:hint="eastAsia" w:asciiTheme="minorEastAsia" w:hAnsiTheme="minorEastAsia"/>
          <w:sz w:val="24"/>
          <w:szCs w:val="24"/>
        </w:rPr>
        <w:t>投标文件提交的截止时间为：</w:t>
      </w:r>
      <w:r>
        <w:rPr>
          <w:rFonts w:asciiTheme="minorEastAsia" w:hAnsiTheme="minorEastAsia"/>
          <w:sz w:val="24"/>
          <w:szCs w:val="24"/>
        </w:rPr>
        <w:t>202</w:t>
      </w:r>
      <w:r>
        <w:rPr>
          <w:rFonts w:hint="eastAsia" w:asciiTheme="minorEastAsia" w:hAnsiTheme="minorEastAsia"/>
          <w:sz w:val="24"/>
          <w:szCs w:val="24"/>
          <w:lang w:val="en-US" w:eastAsia="zh-CN"/>
        </w:rPr>
        <w:t>5</w:t>
      </w:r>
      <w:r>
        <w:rPr>
          <w:rFonts w:hint="eastAsia" w:asciiTheme="minorEastAsia" w:hAnsiTheme="minorEastAsia"/>
          <w:sz w:val="24"/>
          <w:szCs w:val="24"/>
        </w:rPr>
        <w:t>年</w:t>
      </w:r>
      <w:r>
        <w:rPr>
          <w:rFonts w:hint="eastAsia" w:asciiTheme="minorEastAsia" w:hAnsiTheme="minorEastAsia"/>
          <w:sz w:val="24"/>
          <w:szCs w:val="24"/>
          <w:lang w:val="en-US" w:eastAsia="zh-CN"/>
        </w:rPr>
        <w:t>4</w:t>
      </w:r>
      <w:r>
        <w:rPr>
          <w:rFonts w:hint="eastAsia" w:asciiTheme="minorEastAsia" w:hAnsiTheme="minorEastAsia"/>
          <w:sz w:val="24"/>
          <w:szCs w:val="24"/>
        </w:rPr>
        <w:t>月</w:t>
      </w:r>
      <w:r>
        <w:rPr>
          <w:rFonts w:hint="eastAsia" w:asciiTheme="minorEastAsia" w:hAnsiTheme="minorEastAsia"/>
          <w:sz w:val="24"/>
          <w:szCs w:val="24"/>
          <w:lang w:val="en-US" w:eastAsia="zh-CN"/>
        </w:rPr>
        <w:t>10</w:t>
      </w:r>
      <w:r>
        <w:rPr>
          <w:rFonts w:hint="eastAsia" w:asciiTheme="minorEastAsia" w:hAnsiTheme="minorEastAsia"/>
          <w:sz w:val="24"/>
          <w:szCs w:val="24"/>
        </w:rPr>
        <w:t>日1</w:t>
      </w:r>
      <w:r>
        <w:rPr>
          <w:rFonts w:hint="eastAsia" w:asciiTheme="minorEastAsia" w:hAnsiTheme="minorEastAsia"/>
          <w:sz w:val="24"/>
          <w:szCs w:val="24"/>
          <w:lang w:val="en-US" w:eastAsia="zh-CN"/>
        </w:rPr>
        <w:t>8</w:t>
      </w:r>
      <w:r>
        <w:rPr>
          <w:rFonts w:hint="eastAsia" w:asciiTheme="minorEastAsia" w:hAnsiTheme="minorEastAsia"/>
          <w:sz w:val="24"/>
          <w:szCs w:val="24"/>
        </w:rPr>
        <w:t>:00，逾期则投标书无效。</w:t>
      </w:r>
    </w:p>
    <w:p w14:paraId="1D5E760F">
      <w:pPr>
        <w:pStyle w:val="19"/>
        <w:numPr>
          <w:ilvl w:val="0"/>
          <w:numId w:val="12"/>
        </w:numPr>
        <w:spacing w:line="360" w:lineRule="auto"/>
        <w:ind w:left="426" w:right="-143" w:rightChars="-68" w:hanging="426" w:firstLineChars="0"/>
        <w:rPr>
          <w:rFonts w:asciiTheme="minorEastAsia" w:hAnsiTheme="minorEastAsia"/>
          <w:sz w:val="24"/>
          <w:szCs w:val="24"/>
        </w:rPr>
      </w:pPr>
      <w:r>
        <w:rPr>
          <w:rFonts w:hint="eastAsia" w:asciiTheme="minorEastAsia" w:hAnsiTheme="minorEastAsia"/>
          <w:sz w:val="24"/>
          <w:szCs w:val="24"/>
        </w:rPr>
        <w:t>投标文件的组成：</w:t>
      </w:r>
    </w:p>
    <w:p w14:paraId="348A24C1">
      <w:pPr>
        <w:pStyle w:val="19"/>
        <w:numPr>
          <w:ilvl w:val="0"/>
          <w:numId w:val="13"/>
        </w:numPr>
        <w:snapToGrid w:val="0"/>
        <w:spacing w:line="360" w:lineRule="auto"/>
        <w:ind w:firstLine="6" w:firstLineChars="0"/>
        <w:jc w:val="left"/>
        <w:rPr>
          <w:rStyle w:val="24"/>
          <w:rFonts w:asciiTheme="minorEastAsia" w:hAnsiTheme="minorEastAsia"/>
          <w:lang w:val="zh-CN"/>
        </w:rPr>
      </w:pPr>
      <w:r>
        <w:rPr>
          <w:rStyle w:val="24"/>
          <w:rFonts w:hint="eastAsia" w:asciiTheme="minorEastAsia" w:hAnsiTheme="minorEastAsia"/>
          <w:lang w:val="zh-CN"/>
        </w:rPr>
        <w:t xml:space="preserve">纸质标书 </w:t>
      </w:r>
    </w:p>
    <w:p w14:paraId="06478273">
      <w:pPr>
        <w:pStyle w:val="19"/>
        <w:numPr>
          <w:ilvl w:val="0"/>
          <w:numId w:val="13"/>
        </w:numPr>
        <w:snapToGrid w:val="0"/>
        <w:spacing w:line="360" w:lineRule="auto"/>
        <w:ind w:firstLine="6" w:firstLineChars="0"/>
        <w:jc w:val="left"/>
        <w:rPr>
          <w:rStyle w:val="24"/>
          <w:rFonts w:asciiTheme="minorEastAsia" w:hAnsiTheme="minorEastAsia"/>
          <w:szCs w:val="24"/>
        </w:rPr>
      </w:pPr>
      <w:r>
        <w:rPr>
          <w:rStyle w:val="24"/>
          <w:rFonts w:hint="eastAsia" w:asciiTheme="minorEastAsia" w:hAnsiTheme="minorEastAsia"/>
          <w:lang w:val="zh-CN"/>
        </w:rPr>
        <w:t>说明：纸质投标文件</w:t>
      </w:r>
      <w:r>
        <w:rPr>
          <w:rStyle w:val="24"/>
          <w:rFonts w:hint="eastAsia" w:asciiTheme="minorEastAsia" w:hAnsiTheme="minorEastAsia"/>
          <w:lang w:val="en-US" w:eastAsia="zh-CN"/>
        </w:rPr>
        <w:t>2</w:t>
      </w:r>
      <w:r>
        <w:rPr>
          <w:rStyle w:val="24"/>
          <w:rFonts w:hint="eastAsia" w:asciiTheme="minorEastAsia" w:hAnsiTheme="minorEastAsia"/>
          <w:lang w:val="zh-CN"/>
        </w:rPr>
        <w:t>份，正本</w:t>
      </w:r>
      <w:r>
        <w:rPr>
          <w:rStyle w:val="24"/>
          <w:rFonts w:hint="eastAsia" w:asciiTheme="minorEastAsia" w:hAnsiTheme="minorEastAsia"/>
          <w:lang w:val="en-US" w:eastAsia="zh-CN"/>
        </w:rPr>
        <w:t>1份，副本1份</w:t>
      </w:r>
      <w:r>
        <w:rPr>
          <w:rStyle w:val="24"/>
          <w:rFonts w:hint="eastAsia" w:asciiTheme="minorEastAsia" w:hAnsiTheme="minorEastAsia"/>
          <w:lang w:val="zh-CN"/>
        </w:rPr>
        <w:t>。（投标文件需密封并加盖公章）</w:t>
      </w:r>
    </w:p>
    <w:p w14:paraId="23EDB52F">
      <w:pPr>
        <w:pStyle w:val="19"/>
        <w:numPr>
          <w:ilvl w:val="0"/>
          <w:numId w:val="12"/>
        </w:numPr>
        <w:spacing w:line="360" w:lineRule="auto"/>
        <w:ind w:left="426" w:right="-143" w:rightChars="-68" w:hanging="426" w:firstLineChars="0"/>
        <w:rPr>
          <w:rFonts w:asciiTheme="minorEastAsia" w:hAnsiTheme="minorEastAsia"/>
          <w:sz w:val="24"/>
          <w:szCs w:val="24"/>
        </w:rPr>
      </w:pPr>
      <w:bookmarkStart w:id="12" w:name="_Toc389065128"/>
      <w:r>
        <w:rPr>
          <w:rFonts w:hint="eastAsia" w:asciiTheme="minorEastAsia" w:hAnsiTheme="minorEastAsia"/>
          <w:sz w:val="24"/>
          <w:szCs w:val="24"/>
        </w:rPr>
        <w:t>招标机构名称：重庆冠达世纪游轮有限公司</w:t>
      </w:r>
    </w:p>
    <w:p w14:paraId="3A8DF48A">
      <w:pPr>
        <w:pStyle w:val="19"/>
        <w:spacing w:line="360" w:lineRule="auto"/>
        <w:ind w:left="426" w:right="-143" w:rightChars="-68" w:firstLine="0" w:firstLineChars="0"/>
        <w:rPr>
          <w:rFonts w:asciiTheme="minorEastAsia" w:hAnsiTheme="minorEastAsia"/>
          <w:sz w:val="24"/>
          <w:szCs w:val="24"/>
        </w:rPr>
      </w:pPr>
      <w:r>
        <w:rPr>
          <w:rFonts w:hint="eastAsia" w:asciiTheme="minorEastAsia" w:hAnsiTheme="minorEastAsia"/>
          <w:sz w:val="24"/>
          <w:szCs w:val="24"/>
        </w:rPr>
        <w:t>详细地址：重庆市江北区庆云路6号国金中心T5写字楼18层</w:t>
      </w:r>
    </w:p>
    <w:p w14:paraId="08F85FFA">
      <w:pPr>
        <w:pStyle w:val="19"/>
        <w:spacing w:line="360" w:lineRule="auto"/>
        <w:ind w:left="426" w:right="-143" w:rightChars="-68" w:firstLine="0" w:firstLineChars="0"/>
        <w:rPr>
          <w:rFonts w:asciiTheme="minorEastAsia" w:hAnsiTheme="minorEastAsia"/>
          <w:sz w:val="24"/>
          <w:szCs w:val="24"/>
        </w:rPr>
      </w:pPr>
      <w:r>
        <w:rPr>
          <w:rFonts w:hint="eastAsia" w:asciiTheme="minorEastAsia" w:hAnsiTheme="minorEastAsia"/>
          <w:sz w:val="24"/>
          <w:szCs w:val="24"/>
        </w:rPr>
        <w:t>联 系 人：尧先生</w:t>
      </w:r>
    </w:p>
    <w:p w14:paraId="057495F6">
      <w:pPr>
        <w:pStyle w:val="19"/>
        <w:spacing w:line="360" w:lineRule="auto"/>
        <w:ind w:left="426" w:right="-143" w:rightChars="-68" w:firstLine="0" w:firstLineChars="0"/>
        <w:rPr>
          <w:rFonts w:hint="eastAsia" w:asciiTheme="minorEastAsia" w:hAnsiTheme="minorEastAsia"/>
          <w:sz w:val="24"/>
          <w:szCs w:val="24"/>
        </w:rPr>
      </w:pPr>
      <w:r>
        <w:rPr>
          <w:rFonts w:asciiTheme="minorEastAsia" w:hAnsiTheme="minorEastAsia"/>
          <w:sz w:val="24"/>
          <w:szCs w:val="24"/>
        </w:rPr>
        <w:t>电</w:t>
      </w:r>
      <w:r>
        <w:rPr>
          <w:rFonts w:hint="eastAsia" w:asciiTheme="minorEastAsia" w:hAnsiTheme="minorEastAsia"/>
          <w:sz w:val="24"/>
          <w:szCs w:val="24"/>
        </w:rPr>
        <w:t xml:space="preserve">    </w:t>
      </w:r>
      <w:r>
        <w:rPr>
          <w:rFonts w:asciiTheme="minorEastAsia" w:hAnsiTheme="minorEastAsia"/>
          <w:sz w:val="24"/>
          <w:szCs w:val="24"/>
        </w:rPr>
        <w:t>话：</w:t>
      </w:r>
      <w:r>
        <w:rPr>
          <w:rFonts w:hint="eastAsia" w:asciiTheme="minorEastAsia" w:hAnsiTheme="minorEastAsia"/>
          <w:sz w:val="24"/>
          <w:szCs w:val="24"/>
        </w:rPr>
        <w:t>023-67996089</w:t>
      </w:r>
    </w:p>
    <w:bookmarkEnd w:id="12"/>
    <w:p w14:paraId="3898A9BF">
      <w:pPr>
        <w:pStyle w:val="19"/>
        <w:numPr>
          <w:ilvl w:val="0"/>
          <w:numId w:val="12"/>
        </w:numPr>
        <w:spacing w:line="360" w:lineRule="auto"/>
        <w:ind w:left="426" w:right="-143" w:rightChars="-68" w:hanging="426" w:firstLineChars="0"/>
        <w:rPr>
          <w:rFonts w:hint="eastAsia" w:asciiTheme="minorEastAsia" w:hAnsiTheme="minorEastAsia"/>
          <w:sz w:val="24"/>
          <w:szCs w:val="24"/>
        </w:rPr>
      </w:pPr>
      <w:r>
        <w:rPr>
          <w:rFonts w:hint="eastAsia" w:asciiTheme="minorEastAsia" w:hAnsiTheme="minorEastAsia"/>
          <w:sz w:val="24"/>
          <w:szCs w:val="24"/>
        </w:rPr>
        <w:t>项目咨询：</w:t>
      </w:r>
    </w:p>
    <w:p w14:paraId="03E63E2E">
      <w:pPr>
        <w:pStyle w:val="19"/>
        <w:spacing w:line="360" w:lineRule="auto"/>
        <w:ind w:left="426" w:right="-143" w:rightChars="-68" w:firstLine="0" w:firstLineChars="0"/>
        <w:rPr>
          <w:rFonts w:hint="default" w:asciiTheme="minorEastAsia" w:hAnsiTheme="minorEastAsia" w:eastAsiaTheme="minorEastAsia"/>
          <w:sz w:val="24"/>
          <w:szCs w:val="24"/>
          <w:lang w:val="en-US" w:eastAsia="zh-CN"/>
        </w:rPr>
      </w:pPr>
      <w:r>
        <w:rPr>
          <w:rFonts w:hint="eastAsia" w:asciiTheme="minorEastAsia" w:hAnsiTheme="minorEastAsia"/>
          <w:sz w:val="24"/>
          <w:szCs w:val="24"/>
        </w:rPr>
        <w:t>联系人：</w:t>
      </w:r>
      <w:r>
        <w:rPr>
          <w:rFonts w:hint="eastAsia" w:asciiTheme="minorEastAsia" w:hAnsiTheme="minorEastAsia"/>
          <w:sz w:val="24"/>
          <w:szCs w:val="24"/>
          <w:lang w:val="en-US" w:eastAsia="zh-CN"/>
        </w:rPr>
        <w:t>谭女士</w:t>
      </w:r>
    </w:p>
    <w:p w14:paraId="7FEE95FE">
      <w:pPr>
        <w:pStyle w:val="19"/>
        <w:spacing w:line="360" w:lineRule="auto"/>
        <w:ind w:left="426" w:right="-143" w:rightChars="-68" w:firstLine="0" w:firstLineChars="0"/>
        <w:rPr>
          <w:rFonts w:hint="default" w:asciiTheme="minorEastAsia" w:hAnsiTheme="minorEastAsia" w:eastAsiaTheme="minorEastAsia"/>
          <w:sz w:val="24"/>
          <w:szCs w:val="24"/>
          <w:lang w:val="en-US" w:eastAsia="zh-CN"/>
        </w:rPr>
      </w:pPr>
      <w:r>
        <w:rPr>
          <w:rFonts w:asciiTheme="minorEastAsia" w:hAnsiTheme="minorEastAsia"/>
          <w:sz w:val="24"/>
          <w:szCs w:val="24"/>
        </w:rPr>
        <w:t>电</w:t>
      </w:r>
      <w:r>
        <w:rPr>
          <w:rFonts w:hint="eastAsia" w:asciiTheme="minorEastAsia" w:hAnsiTheme="minorEastAsia"/>
          <w:sz w:val="24"/>
          <w:szCs w:val="24"/>
        </w:rPr>
        <w:t xml:space="preserve">  </w:t>
      </w:r>
      <w:r>
        <w:rPr>
          <w:rFonts w:asciiTheme="minorEastAsia" w:hAnsiTheme="minorEastAsia"/>
          <w:sz w:val="24"/>
          <w:szCs w:val="24"/>
        </w:rPr>
        <w:t>话：</w:t>
      </w:r>
      <w:r>
        <w:rPr>
          <w:rFonts w:hint="eastAsia" w:asciiTheme="minorEastAsia" w:hAnsiTheme="minorEastAsia"/>
          <w:sz w:val="24"/>
          <w:szCs w:val="24"/>
          <w:lang w:val="en-US" w:eastAsia="zh-CN"/>
        </w:rPr>
        <w:t>18480981917（微信1019523032）</w:t>
      </w:r>
    </w:p>
    <w:p w14:paraId="138A4D6B">
      <w:pPr>
        <w:pStyle w:val="19"/>
        <w:numPr>
          <w:ilvl w:val="0"/>
          <w:numId w:val="12"/>
        </w:numPr>
        <w:spacing w:line="360" w:lineRule="auto"/>
        <w:ind w:left="426" w:right="-143" w:rightChars="-68" w:hanging="426" w:firstLineChars="0"/>
        <w:rPr>
          <w:rFonts w:asciiTheme="minorEastAsia" w:hAnsiTheme="minorEastAsia"/>
          <w:sz w:val="24"/>
          <w:szCs w:val="24"/>
        </w:rPr>
      </w:pPr>
      <w:r>
        <w:rPr>
          <w:rFonts w:hint="eastAsia" w:asciiTheme="minorEastAsia" w:hAnsiTheme="minorEastAsia"/>
          <w:sz w:val="24"/>
          <w:szCs w:val="24"/>
        </w:rPr>
        <w:t>开标时间：202</w:t>
      </w:r>
      <w:r>
        <w:rPr>
          <w:rFonts w:hint="eastAsia" w:asciiTheme="minorEastAsia" w:hAnsiTheme="minorEastAsia"/>
          <w:sz w:val="24"/>
          <w:szCs w:val="24"/>
          <w:lang w:val="en-US" w:eastAsia="zh-CN"/>
        </w:rPr>
        <w:t>5</w:t>
      </w:r>
      <w:r>
        <w:rPr>
          <w:rFonts w:hint="eastAsia" w:asciiTheme="minorEastAsia" w:hAnsiTheme="minorEastAsia"/>
          <w:sz w:val="24"/>
          <w:szCs w:val="24"/>
        </w:rPr>
        <w:t>年</w:t>
      </w:r>
      <w:r>
        <w:rPr>
          <w:rFonts w:hint="eastAsia" w:asciiTheme="minorEastAsia" w:hAnsiTheme="minorEastAsia"/>
          <w:sz w:val="24"/>
          <w:szCs w:val="24"/>
          <w:lang w:val="en-US" w:eastAsia="zh-CN"/>
        </w:rPr>
        <w:t>4</w:t>
      </w:r>
      <w:r>
        <w:rPr>
          <w:rFonts w:hint="eastAsia" w:asciiTheme="minorEastAsia" w:hAnsiTheme="minorEastAsia"/>
          <w:sz w:val="24"/>
          <w:szCs w:val="24"/>
        </w:rPr>
        <w:t>月</w:t>
      </w:r>
      <w:r>
        <w:rPr>
          <w:rFonts w:hint="eastAsia" w:asciiTheme="minorEastAsia" w:hAnsiTheme="minorEastAsia"/>
          <w:sz w:val="24"/>
          <w:szCs w:val="24"/>
          <w:lang w:val="en-US" w:eastAsia="zh-CN"/>
        </w:rPr>
        <w:t>14-16</w:t>
      </w:r>
      <w:r>
        <w:rPr>
          <w:rFonts w:hint="eastAsia" w:asciiTheme="minorEastAsia" w:hAnsiTheme="minorEastAsia"/>
          <w:sz w:val="24"/>
          <w:szCs w:val="24"/>
        </w:rPr>
        <w:t>日，需投标方现场讲</w:t>
      </w:r>
      <w:bookmarkStart w:id="13" w:name="_GoBack"/>
      <w:bookmarkEnd w:id="13"/>
      <w:r>
        <w:rPr>
          <w:rFonts w:hint="eastAsia" w:asciiTheme="minorEastAsia" w:hAnsiTheme="minorEastAsia"/>
          <w:sz w:val="24"/>
          <w:szCs w:val="24"/>
        </w:rPr>
        <w:t>标、议标，具体时间另行通知。</w:t>
      </w: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Noto Sans Mono CJK JP Bold">
    <w:altName w:val="Arial"/>
    <w:panose1 w:val="00000000000000000000"/>
    <w:charset w:val="00"/>
    <w:family w:val="swiss"/>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4D58E"/>
    <w:multiLevelType w:val="multilevel"/>
    <w:tmpl w:val="EFF4D58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97C4CC0"/>
    <w:multiLevelType w:val="multilevel"/>
    <w:tmpl w:val="197C4CC0"/>
    <w:lvl w:ilvl="0" w:tentative="0">
      <w:start w:val="1"/>
      <w:numFmt w:val="decimal"/>
      <w:lvlText w:val="%1、"/>
      <w:lvlJc w:val="left"/>
      <w:pPr>
        <w:ind w:left="986"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A266CFF"/>
    <w:multiLevelType w:val="multilevel"/>
    <w:tmpl w:val="1A266CFF"/>
    <w:lvl w:ilvl="0" w:tentative="0">
      <w:start w:val="1"/>
      <w:numFmt w:val="decimal"/>
      <w:lvlText w:val="%1、"/>
      <w:lvlJc w:val="left"/>
      <w:pPr>
        <w:ind w:left="986"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1A863D3"/>
    <w:multiLevelType w:val="multilevel"/>
    <w:tmpl w:val="21A863D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1CF36DA"/>
    <w:multiLevelType w:val="multilevel"/>
    <w:tmpl w:val="21CF36DA"/>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06E0F55"/>
    <w:multiLevelType w:val="multilevel"/>
    <w:tmpl w:val="406E0F5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0733ED8"/>
    <w:multiLevelType w:val="multilevel"/>
    <w:tmpl w:val="40733ED8"/>
    <w:lvl w:ilvl="0" w:tentative="0">
      <w:start w:val="1"/>
      <w:numFmt w:val="chineseCountingThousand"/>
      <w:lvlText w:val="%1、"/>
      <w:lvlJc w:val="left"/>
      <w:pPr>
        <w:ind w:left="420" w:hanging="420"/>
      </w:pPr>
      <w:rPr>
        <w:sz w:val="3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8936DE9"/>
    <w:multiLevelType w:val="multilevel"/>
    <w:tmpl w:val="48936DE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54545CBD"/>
    <w:multiLevelType w:val="multilevel"/>
    <w:tmpl w:val="54545CBD"/>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5A4252C2"/>
    <w:multiLevelType w:val="multilevel"/>
    <w:tmpl w:val="5A4252C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672C4C59"/>
    <w:multiLevelType w:val="multilevel"/>
    <w:tmpl w:val="672C4C59"/>
    <w:lvl w:ilvl="0" w:tentative="0">
      <w:start w:val="1"/>
      <w:numFmt w:val="decimal"/>
      <w:lvlText w:val="%1、"/>
      <w:lvlJc w:val="left"/>
      <w:pPr>
        <w:ind w:left="986"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6BCC3668"/>
    <w:multiLevelType w:val="multilevel"/>
    <w:tmpl w:val="6BCC3668"/>
    <w:lvl w:ilvl="0" w:tentative="0">
      <w:start w:val="1"/>
      <w:numFmt w:val="decimal"/>
      <w:lvlText w:val="%1、"/>
      <w:lvlJc w:val="left"/>
      <w:pPr>
        <w:ind w:left="986" w:hanging="420"/>
      </w:pPr>
      <w:rPr>
        <w:rFonts w:hint="eastAsia"/>
        <w:b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7A735A33"/>
    <w:multiLevelType w:val="multilevel"/>
    <w:tmpl w:val="7A735A3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6"/>
  </w:num>
  <w:num w:numId="2">
    <w:abstractNumId w:val="11"/>
  </w:num>
  <w:num w:numId="3">
    <w:abstractNumId w:val="10"/>
  </w:num>
  <w:num w:numId="4">
    <w:abstractNumId w:val="1"/>
  </w:num>
  <w:num w:numId="5">
    <w:abstractNumId w:val="4"/>
  </w:num>
  <w:num w:numId="6">
    <w:abstractNumId w:val="0"/>
  </w:num>
  <w:num w:numId="7">
    <w:abstractNumId w:val="5"/>
  </w:num>
  <w:num w:numId="8">
    <w:abstractNumId w:val="8"/>
  </w:num>
  <w:num w:numId="9">
    <w:abstractNumId w:val="3"/>
  </w:num>
  <w:num w:numId="10">
    <w:abstractNumId w:val="12"/>
  </w:num>
  <w:num w:numId="11">
    <w:abstractNumId w:val="7"/>
  </w:num>
  <w:num w:numId="12">
    <w:abstractNumId w:val="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jYTdmMjk3Y2VlMjZjMjJjOTYyMTc2ODI3YWU2OTAifQ=="/>
  </w:docVars>
  <w:rsids>
    <w:rsidRoot w:val="0052473F"/>
    <w:rsid w:val="0000591D"/>
    <w:rsid w:val="00005C8B"/>
    <w:rsid w:val="0004469D"/>
    <w:rsid w:val="00045E9C"/>
    <w:rsid w:val="00047D87"/>
    <w:rsid w:val="00064304"/>
    <w:rsid w:val="000645B7"/>
    <w:rsid w:val="00065C33"/>
    <w:rsid w:val="0007301D"/>
    <w:rsid w:val="00077304"/>
    <w:rsid w:val="00080291"/>
    <w:rsid w:val="000A1700"/>
    <w:rsid w:val="000A283E"/>
    <w:rsid w:val="000A61BC"/>
    <w:rsid w:val="000B6006"/>
    <w:rsid w:val="000D2B28"/>
    <w:rsid w:val="000D52AD"/>
    <w:rsid w:val="000E4685"/>
    <w:rsid w:val="000F251F"/>
    <w:rsid w:val="000F7255"/>
    <w:rsid w:val="00106169"/>
    <w:rsid w:val="00113F79"/>
    <w:rsid w:val="0013418F"/>
    <w:rsid w:val="00140FBA"/>
    <w:rsid w:val="001531C4"/>
    <w:rsid w:val="00157EAE"/>
    <w:rsid w:val="00160EF8"/>
    <w:rsid w:val="0016741C"/>
    <w:rsid w:val="00182FDE"/>
    <w:rsid w:val="00192B35"/>
    <w:rsid w:val="001A7326"/>
    <w:rsid w:val="001C1DA8"/>
    <w:rsid w:val="001C7730"/>
    <w:rsid w:val="001C7B1F"/>
    <w:rsid w:val="001E0D7D"/>
    <w:rsid w:val="00202177"/>
    <w:rsid w:val="0020615A"/>
    <w:rsid w:val="0020709E"/>
    <w:rsid w:val="00215F4A"/>
    <w:rsid w:val="002177FC"/>
    <w:rsid w:val="00221EA2"/>
    <w:rsid w:val="00222197"/>
    <w:rsid w:val="002301EC"/>
    <w:rsid w:val="00235E25"/>
    <w:rsid w:val="00252656"/>
    <w:rsid w:val="00255FFA"/>
    <w:rsid w:val="0026612B"/>
    <w:rsid w:val="00283F4F"/>
    <w:rsid w:val="002A3942"/>
    <w:rsid w:val="002C205D"/>
    <w:rsid w:val="002C386C"/>
    <w:rsid w:val="002C7667"/>
    <w:rsid w:val="002D1FB6"/>
    <w:rsid w:val="002D4D54"/>
    <w:rsid w:val="002E01C1"/>
    <w:rsid w:val="002E1E28"/>
    <w:rsid w:val="002E5F9B"/>
    <w:rsid w:val="002F35CE"/>
    <w:rsid w:val="00300230"/>
    <w:rsid w:val="00311092"/>
    <w:rsid w:val="0032408D"/>
    <w:rsid w:val="003320CA"/>
    <w:rsid w:val="0033371F"/>
    <w:rsid w:val="00364961"/>
    <w:rsid w:val="00391FE4"/>
    <w:rsid w:val="003A1AD2"/>
    <w:rsid w:val="003A7993"/>
    <w:rsid w:val="003B52D7"/>
    <w:rsid w:val="003C537D"/>
    <w:rsid w:val="003C7980"/>
    <w:rsid w:val="003D3D95"/>
    <w:rsid w:val="003D7E79"/>
    <w:rsid w:val="003F667C"/>
    <w:rsid w:val="00405839"/>
    <w:rsid w:val="004064F6"/>
    <w:rsid w:val="00407154"/>
    <w:rsid w:val="004232FA"/>
    <w:rsid w:val="00446FD9"/>
    <w:rsid w:val="00447F68"/>
    <w:rsid w:val="004519AA"/>
    <w:rsid w:val="00455740"/>
    <w:rsid w:val="00456DB1"/>
    <w:rsid w:val="004659B7"/>
    <w:rsid w:val="004719CC"/>
    <w:rsid w:val="0047359C"/>
    <w:rsid w:val="00481674"/>
    <w:rsid w:val="00486E11"/>
    <w:rsid w:val="004A2611"/>
    <w:rsid w:val="004A601E"/>
    <w:rsid w:val="004E10D6"/>
    <w:rsid w:val="004E404C"/>
    <w:rsid w:val="004F7579"/>
    <w:rsid w:val="00504191"/>
    <w:rsid w:val="00506CE2"/>
    <w:rsid w:val="0052473F"/>
    <w:rsid w:val="00534B0C"/>
    <w:rsid w:val="00534B23"/>
    <w:rsid w:val="0055390C"/>
    <w:rsid w:val="00571C36"/>
    <w:rsid w:val="005A0C0C"/>
    <w:rsid w:val="005A143C"/>
    <w:rsid w:val="005A2737"/>
    <w:rsid w:val="005A333C"/>
    <w:rsid w:val="005A3543"/>
    <w:rsid w:val="005A720C"/>
    <w:rsid w:val="005C2385"/>
    <w:rsid w:val="005C3DF7"/>
    <w:rsid w:val="005D0C01"/>
    <w:rsid w:val="005D3799"/>
    <w:rsid w:val="005E23CA"/>
    <w:rsid w:val="005E5786"/>
    <w:rsid w:val="006001BA"/>
    <w:rsid w:val="00613D3A"/>
    <w:rsid w:val="00626518"/>
    <w:rsid w:val="006326BD"/>
    <w:rsid w:val="00674A60"/>
    <w:rsid w:val="00680F41"/>
    <w:rsid w:val="00697507"/>
    <w:rsid w:val="00697C62"/>
    <w:rsid w:val="006B31C3"/>
    <w:rsid w:val="006B5A5A"/>
    <w:rsid w:val="006C64B8"/>
    <w:rsid w:val="006D4F95"/>
    <w:rsid w:val="006E34C1"/>
    <w:rsid w:val="006F022D"/>
    <w:rsid w:val="0070121A"/>
    <w:rsid w:val="007058B6"/>
    <w:rsid w:val="007165A3"/>
    <w:rsid w:val="00721D83"/>
    <w:rsid w:val="007349FC"/>
    <w:rsid w:val="00740F99"/>
    <w:rsid w:val="00756692"/>
    <w:rsid w:val="00760C1E"/>
    <w:rsid w:val="00766AE5"/>
    <w:rsid w:val="00766CE2"/>
    <w:rsid w:val="00767A45"/>
    <w:rsid w:val="00775610"/>
    <w:rsid w:val="00781467"/>
    <w:rsid w:val="00792DBD"/>
    <w:rsid w:val="007A5709"/>
    <w:rsid w:val="007B6BDD"/>
    <w:rsid w:val="007D38A7"/>
    <w:rsid w:val="007E1697"/>
    <w:rsid w:val="00800FC7"/>
    <w:rsid w:val="00810CF4"/>
    <w:rsid w:val="00836D2C"/>
    <w:rsid w:val="008752FC"/>
    <w:rsid w:val="00877C3F"/>
    <w:rsid w:val="008841AF"/>
    <w:rsid w:val="008861C2"/>
    <w:rsid w:val="00886991"/>
    <w:rsid w:val="00891596"/>
    <w:rsid w:val="008927FC"/>
    <w:rsid w:val="008933DC"/>
    <w:rsid w:val="008B7213"/>
    <w:rsid w:val="008D3DAA"/>
    <w:rsid w:val="008D71DB"/>
    <w:rsid w:val="009327F6"/>
    <w:rsid w:val="009369B9"/>
    <w:rsid w:val="00942D83"/>
    <w:rsid w:val="00965387"/>
    <w:rsid w:val="009674A8"/>
    <w:rsid w:val="00972E86"/>
    <w:rsid w:val="00972F39"/>
    <w:rsid w:val="009761A3"/>
    <w:rsid w:val="00984ABC"/>
    <w:rsid w:val="009A0658"/>
    <w:rsid w:val="009C1F30"/>
    <w:rsid w:val="009E26D4"/>
    <w:rsid w:val="009F0408"/>
    <w:rsid w:val="00A01DE2"/>
    <w:rsid w:val="00A3160B"/>
    <w:rsid w:val="00A36717"/>
    <w:rsid w:val="00A40323"/>
    <w:rsid w:val="00A61AAC"/>
    <w:rsid w:val="00A70F1B"/>
    <w:rsid w:val="00A90B36"/>
    <w:rsid w:val="00A9367E"/>
    <w:rsid w:val="00AA0798"/>
    <w:rsid w:val="00AA243B"/>
    <w:rsid w:val="00AD5E26"/>
    <w:rsid w:val="00AD6020"/>
    <w:rsid w:val="00AF745A"/>
    <w:rsid w:val="00B30B0B"/>
    <w:rsid w:val="00B31C78"/>
    <w:rsid w:val="00B40AB5"/>
    <w:rsid w:val="00B51A73"/>
    <w:rsid w:val="00B609BA"/>
    <w:rsid w:val="00B64168"/>
    <w:rsid w:val="00B84AC9"/>
    <w:rsid w:val="00B869FC"/>
    <w:rsid w:val="00B87704"/>
    <w:rsid w:val="00BA2F96"/>
    <w:rsid w:val="00BA4932"/>
    <w:rsid w:val="00BB0F40"/>
    <w:rsid w:val="00BB65BE"/>
    <w:rsid w:val="00BE49F2"/>
    <w:rsid w:val="00BE7D2B"/>
    <w:rsid w:val="00BF1B0A"/>
    <w:rsid w:val="00BF34BF"/>
    <w:rsid w:val="00BF472F"/>
    <w:rsid w:val="00C327BB"/>
    <w:rsid w:val="00C342A4"/>
    <w:rsid w:val="00C37B33"/>
    <w:rsid w:val="00C5265C"/>
    <w:rsid w:val="00C55835"/>
    <w:rsid w:val="00C64E31"/>
    <w:rsid w:val="00C82F04"/>
    <w:rsid w:val="00C939CC"/>
    <w:rsid w:val="00CB634D"/>
    <w:rsid w:val="00CD4BEE"/>
    <w:rsid w:val="00CF216F"/>
    <w:rsid w:val="00CF24B7"/>
    <w:rsid w:val="00CF7CCC"/>
    <w:rsid w:val="00D00DEF"/>
    <w:rsid w:val="00D057D7"/>
    <w:rsid w:val="00D06445"/>
    <w:rsid w:val="00D2259B"/>
    <w:rsid w:val="00D245E5"/>
    <w:rsid w:val="00D24FF0"/>
    <w:rsid w:val="00D30E7D"/>
    <w:rsid w:val="00D40546"/>
    <w:rsid w:val="00D450F5"/>
    <w:rsid w:val="00D5084E"/>
    <w:rsid w:val="00D552BA"/>
    <w:rsid w:val="00D64E38"/>
    <w:rsid w:val="00DA5AE8"/>
    <w:rsid w:val="00DC0141"/>
    <w:rsid w:val="00DD79E9"/>
    <w:rsid w:val="00DE0545"/>
    <w:rsid w:val="00DE4E37"/>
    <w:rsid w:val="00DF1F22"/>
    <w:rsid w:val="00E25DE4"/>
    <w:rsid w:val="00E46D25"/>
    <w:rsid w:val="00E65452"/>
    <w:rsid w:val="00E675BD"/>
    <w:rsid w:val="00E775DB"/>
    <w:rsid w:val="00EB1A91"/>
    <w:rsid w:val="00EB240F"/>
    <w:rsid w:val="00EB3863"/>
    <w:rsid w:val="00EB4203"/>
    <w:rsid w:val="00EC1F67"/>
    <w:rsid w:val="00EE6044"/>
    <w:rsid w:val="00EF5D10"/>
    <w:rsid w:val="00F036A9"/>
    <w:rsid w:val="00F11586"/>
    <w:rsid w:val="00F15B98"/>
    <w:rsid w:val="00F36F4A"/>
    <w:rsid w:val="00F54A45"/>
    <w:rsid w:val="00F556B6"/>
    <w:rsid w:val="00F75432"/>
    <w:rsid w:val="00F76D07"/>
    <w:rsid w:val="00FA33F5"/>
    <w:rsid w:val="00FB510D"/>
    <w:rsid w:val="00FC62EB"/>
    <w:rsid w:val="00FC64A2"/>
    <w:rsid w:val="01437C9C"/>
    <w:rsid w:val="01541EA9"/>
    <w:rsid w:val="015A40C0"/>
    <w:rsid w:val="01687703"/>
    <w:rsid w:val="01AA7D1B"/>
    <w:rsid w:val="01B12E58"/>
    <w:rsid w:val="01B6221C"/>
    <w:rsid w:val="022950E4"/>
    <w:rsid w:val="024C0DD3"/>
    <w:rsid w:val="029C3B08"/>
    <w:rsid w:val="02BE582C"/>
    <w:rsid w:val="02DB7FCF"/>
    <w:rsid w:val="02F474A0"/>
    <w:rsid w:val="03125B78"/>
    <w:rsid w:val="03BE360A"/>
    <w:rsid w:val="03D43093"/>
    <w:rsid w:val="03D91E8E"/>
    <w:rsid w:val="03F901D3"/>
    <w:rsid w:val="04245B63"/>
    <w:rsid w:val="0450534A"/>
    <w:rsid w:val="04714B20"/>
    <w:rsid w:val="047572A8"/>
    <w:rsid w:val="04846602"/>
    <w:rsid w:val="04B62533"/>
    <w:rsid w:val="04F33787"/>
    <w:rsid w:val="04FA68C4"/>
    <w:rsid w:val="05131B0A"/>
    <w:rsid w:val="055B3806"/>
    <w:rsid w:val="05735A24"/>
    <w:rsid w:val="058C7E64"/>
    <w:rsid w:val="058F525E"/>
    <w:rsid w:val="05D9472B"/>
    <w:rsid w:val="05DC62C0"/>
    <w:rsid w:val="061614DB"/>
    <w:rsid w:val="063B7194"/>
    <w:rsid w:val="06597DDC"/>
    <w:rsid w:val="06700194"/>
    <w:rsid w:val="06826AEB"/>
    <w:rsid w:val="06BC02D5"/>
    <w:rsid w:val="06E635A4"/>
    <w:rsid w:val="085B2539"/>
    <w:rsid w:val="0869448C"/>
    <w:rsid w:val="08A2174C"/>
    <w:rsid w:val="08E41D65"/>
    <w:rsid w:val="094E3682"/>
    <w:rsid w:val="095567BF"/>
    <w:rsid w:val="095C7B4D"/>
    <w:rsid w:val="096E7880"/>
    <w:rsid w:val="09B01C47"/>
    <w:rsid w:val="09B96D4E"/>
    <w:rsid w:val="0A1026E6"/>
    <w:rsid w:val="0A4D7496"/>
    <w:rsid w:val="0A8729A8"/>
    <w:rsid w:val="0AAE262A"/>
    <w:rsid w:val="0AE918B4"/>
    <w:rsid w:val="0B5B264A"/>
    <w:rsid w:val="0BDC249A"/>
    <w:rsid w:val="0BF73B5D"/>
    <w:rsid w:val="0BFE313E"/>
    <w:rsid w:val="0C550884"/>
    <w:rsid w:val="0C8569A1"/>
    <w:rsid w:val="0C90792D"/>
    <w:rsid w:val="0C9B098C"/>
    <w:rsid w:val="0CA041F5"/>
    <w:rsid w:val="0CA050B2"/>
    <w:rsid w:val="0CAD246E"/>
    <w:rsid w:val="0CE81173"/>
    <w:rsid w:val="0CF06F2A"/>
    <w:rsid w:val="0D0E115E"/>
    <w:rsid w:val="0D554FDF"/>
    <w:rsid w:val="0D676F26"/>
    <w:rsid w:val="0D913B3D"/>
    <w:rsid w:val="0D933D59"/>
    <w:rsid w:val="0DAE2941"/>
    <w:rsid w:val="0DD51C7C"/>
    <w:rsid w:val="0DEB4458"/>
    <w:rsid w:val="0E1F739B"/>
    <w:rsid w:val="0E2844A2"/>
    <w:rsid w:val="0E3177FA"/>
    <w:rsid w:val="0E567261"/>
    <w:rsid w:val="0EAF4BC3"/>
    <w:rsid w:val="0EB775D4"/>
    <w:rsid w:val="0EC817E1"/>
    <w:rsid w:val="0F032819"/>
    <w:rsid w:val="0F1756A9"/>
    <w:rsid w:val="100B7BD7"/>
    <w:rsid w:val="102B2027"/>
    <w:rsid w:val="10710382"/>
    <w:rsid w:val="10B4201D"/>
    <w:rsid w:val="10E072B6"/>
    <w:rsid w:val="10EE19D3"/>
    <w:rsid w:val="10F20D97"/>
    <w:rsid w:val="112076B2"/>
    <w:rsid w:val="114535BD"/>
    <w:rsid w:val="11567578"/>
    <w:rsid w:val="11DB1545"/>
    <w:rsid w:val="1230601B"/>
    <w:rsid w:val="123F1DBA"/>
    <w:rsid w:val="124E024F"/>
    <w:rsid w:val="127B54E8"/>
    <w:rsid w:val="12A32349"/>
    <w:rsid w:val="12B97DBE"/>
    <w:rsid w:val="12EA441C"/>
    <w:rsid w:val="130A73A9"/>
    <w:rsid w:val="130C6140"/>
    <w:rsid w:val="13453400"/>
    <w:rsid w:val="134A310C"/>
    <w:rsid w:val="13636A0D"/>
    <w:rsid w:val="136F153F"/>
    <w:rsid w:val="13B4669E"/>
    <w:rsid w:val="13E21FE9"/>
    <w:rsid w:val="13FD377C"/>
    <w:rsid w:val="141379A2"/>
    <w:rsid w:val="14151024"/>
    <w:rsid w:val="14294AD0"/>
    <w:rsid w:val="146D1167"/>
    <w:rsid w:val="146F2E2A"/>
    <w:rsid w:val="14A81E98"/>
    <w:rsid w:val="153D1CEC"/>
    <w:rsid w:val="153E45AB"/>
    <w:rsid w:val="1546345F"/>
    <w:rsid w:val="158C17BA"/>
    <w:rsid w:val="15AF7257"/>
    <w:rsid w:val="15FC6940"/>
    <w:rsid w:val="162044D0"/>
    <w:rsid w:val="16612C47"/>
    <w:rsid w:val="17143815"/>
    <w:rsid w:val="173D7210"/>
    <w:rsid w:val="177E5132"/>
    <w:rsid w:val="17A728DB"/>
    <w:rsid w:val="17D15BAA"/>
    <w:rsid w:val="180513B0"/>
    <w:rsid w:val="182C4B8E"/>
    <w:rsid w:val="183B3024"/>
    <w:rsid w:val="18534811"/>
    <w:rsid w:val="18BC5F12"/>
    <w:rsid w:val="18BD1C8B"/>
    <w:rsid w:val="18D86AC4"/>
    <w:rsid w:val="18F338FE"/>
    <w:rsid w:val="193B777F"/>
    <w:rsid w:val="19677EEA"/>
    <w:rsid w:val="19B04073"/>
    <w:rsid w:val="19F636A6"/>
    <w:rsid w:val="1A197394"/>
    <w:rsid w:val="1A4A57A0"/>
    <w:rsid w:val="1A55661F"/>
    <w:rsid w:val="1A7F369B"/>
    <w:rsid w:val="1A935399"/>
    <w:rsid w:val="1A986467"/>
    <w:rsid w:val="1A9C4844"/>
    <w:rsid w:val="1AA603CB"/>
    <w:rsid w:val="1ACA2CE4"/>
    <w:rsid w:val="1ACD08AB"/>
    <w:rsid w:val="1AF220BF"/>
    <w:rsid w:val="1B261D69"/>
    <w:rsid w:val="1B3E5305"/>
    <w:rsid w:val="1B5543FC"/>
    <w:rsid w:val="1B682381"/>
    <w:rsid w:val="1B830F69"/>
    <w:rsid w:val="1B966EEF"/>
    <w:rsid w:val="1BB67591"/>
    <w:rsid w:val="1BBB0703"/>
    <w:rsid w:val="1C6A3ED7"/>
    <w:rsid w:val="1D1E4848"/>
    <w:rsid w:val="1D7636A5"/>
    <w:rsid w:val="1DA358F3"/>
    <w:rsid w:val="1DB47B00"/>
    <w:rsid w:val="1DF47EFC"/>
    <w:rsid w:val="1E1B7B7F"/>
    <w:rsid w:val="1E2702D2"/>
    <w:rsid w:val="1E5D3CF4"/>
    <w:rsid w:val="1E601A36"/>
    <w:rsid w:val="1E7E1EBC"/>
    <w:rsid w:val="1E7E3C6A"/>
    <w:rsid w:val="1E97124E"/>
    <w:rsid w:val="1E9D0FAC"/>
    <w:rsid w:val="1EDD203A"/>
    <w:rsid w:val="1EE67479"/>
    <w:rsid w:val="1EF02DBA"/>
    <w:rsid w:val="1F0A0750"/>
    <w:rsid w:val="1F1B770B"/>
    <w:rsid w:val="1F933745"/>
    <w:rsid w:val="1FA83694"/>
    <w:rsid w:val="1FAA1D56"/>
    <w:rsid w:val="1FB04410"/>
    <w:rsid w:val="1FC3227C"/>
    <w:rsid w:val="1FC97167"/>
    <w:rsid w:val="201C7BDE"/>
    <w:rsid w:val="202A5E57"/>
    <w:rsid w:val="204038CD"/>
    <w:rsid w:val="2040567B"/>
    <w:rsid w:val="20962624"/>
    <w:rsid w:val="20B665DB"/>
    <w:rsid w:val="20CA763A"/>
    <w:rsid w:val="20D3029D"/>
    <w:rsid w:val="20D364EF"/>
    <w:rsid w:val="20D64231"/>
    <w:rsid w:val="215D04AF"/>
    <w:rsid w:val="216B497A"/>
    <w:rsid w:val="217B78A2"/>
    <w:rsid w:val="21821CC3"/>
    <w:rsid w:val="219F0AC7"/>
    <w:rsid w:val="21B207FA"/>
    <w:rsid w:val="21C61BB0"/>
    <w:rsid w:val="21FC1A76"/>
    <w:rsid w:val="21FC7CC7"/>
    <w:rsid w:val="22116E69"/>
    <w:rsid w:val="226F0499"/>
    <w:rsid w:val="237044C9"/>
    <w:rsid w:val="23812232"/>
    <w:rsid w:val="23AA76D2"/>
    <w:rsid w:val="23AE0B4E"/>
    <w:rsid w:val="23BE3486"/>
    <w:rsid w:val="23FE3883"/>
    <w:rsid w:val="242F7EE0"/>
    <w:rsid w:val="244F207A"/>
    <w:rsid w:val="2479115B"/>
    <w:rsid w:val="247A57B8"/>
    <w:rsid w:val="24AB4930"/>
    <w:rsid w:val="24FA6740"/>
    <w:rsid w:val="252C2672"/>
    <w:rsid w:val="253C1456"/>
    <w:rsid w:val="257D111F"/>
    <w:rsid w:val="25973F8F"/>
    <w:rsid w:val="25D7082F"/>
    <w:rsid w:val="25E22D30"/>
    <w:rsid w:val="25F34750"/>
    <w:rsid w:val="26192BF6"/>
    <w:rsid w:val="261E020C"/>
    <w:rsid w:val="264A7253"/>
    <w:rsid w:val="26B71E3C"/>
    <w:rsid w:val="27421CD9"/>
    <w:rsid w:val="27822A1D"/>
    <w:rsid w:val="27A40BE5"/>
    <w:rsid w:val="27FD02F5"/>
    <w:rsid w:val="2808007A"/>
    <w:rsid w:val="28235FAE"/>
    <w:rsid w:val="283A6E54"/>
    <w:rsid w:val="284D4DD9"/>
    <w:rsid w:val="28924EE2"/>
    <w:rsid w:val="299913C4"/>
    <w:rsid w:val="29AC1FD3"/>
    <w:rsid w:val="29E03A2B"/>
    <w:rsid w:val="2A074CFC"/>
    <w:rsid w:val="2A481CFC"/>
    <w:rsid w:val="2A6476DB"/>
    <w:rsid w:val="2ACF41CB"/>
    <w:rsid w:val="2B3E7A7B"/>
    <w:rsid w:val="2B512E32"/>
    <w:rsid w:val="2B6F150A"/>
    <w:rsid w:val="2B856638"/>
    <w:rsid w:val="2B8D373E"/>
    <w:rsid w:val="2B942D1F"/>
    <w:rsid w:val="2BAA2542"/>
    <w:rsid w:val="2BBF4A75"/>
    <w:rsid w:val="2BD31A99"/>
    <w:rsid w:val="2C0E0D23"/>
    <w:rsid w:val="2C236F8B"/>
    <w:rsid w:val="2C9F6FA5"/>
    <w:rsid w:val="2CD24BB1"/>
    <w:rsid w:val="2CEB299B"/>
    <w:rsid w:val="2D1759B5"/>
    <w:rsid w:val="2D216834"/>
    <w:rsid w:val="2D2500D2"/>
    <w:rsid w:val="2D483DC1"/>
    <w:rsid w:val="2D662499"/>
    <w:rsid w:val="2DDE64D3"/>
    <w:rsid w:val="2DE24215"/>
    <w:rsid w:val="2E584F16"/>
    <w:rsid w:val="2E8B21B7"/>
    <w:rsid w:val="2E9C2616"/>
    <w:rsid w:val="2EB060C2"/>
    <w:rsid w:val="2EB3170E"/>
    <w:rsid w:val="2EBF6305"/>
    <w:rsid w:val="2F326AD7"/>
    <w:rsid w:val="2F6649D2"/>
    <w:rsid w:val="2F6A6270"/>
    <w:rsid w:val="2F745341"/>
    <w:rsid w:val="2FB67708"/>
    <w:rsid w:val="2FBE480E"/>
    <w:rsid w:val="3009345D"/>
    <w:rsid w:val="305F1B4D"/>
    <w:rsid w:val="3077201F"/>
    <w:rsid w:val="307D6477"/>
    <w:rsid w:val="31295CB7"/>
    <w:rsid w:val="31322DBE"/>
    <w:rsid w:val="31717D8A"/>
    <w:rsid w:val="31CF2D03"/>
    <w:rsid w:val="31D01D07"/>
    <w:rsid w:val="31D67BED"/>
    <w:rsid w:val="3296737C"/>
    <w:rsid w:val="32F83AA6"/>
    <w:rsid w:val="33016EEC"/>
    <w:rsid w:val="33044C2E"/>
    <w:rsid w:val="332C1A8F"/>
    <w:rsid w:val="33380434"/>
    <w:rsid w:val="33525999"/>
    <w:rsid w:val="336E3E55"/>
    <w:rsid w:val="33792F26"/>
    <w:rsid w:val="33D75E9F"/>
    <w:rsid w:val="34655258"/>
    <w:rsid w:val="346A286F"/>
    <w:rsid w:val="34D80120"/>
    <w:rsid w:val="350C3926"/>
    <w:rsid w:val="351F7AFD"/>
    <w:rsid w:val="353F0D76"/>
    <w:rsid w:val="35611EC4"/>
    <w:rsid w:val="358E7AEE"/>
    <w:rsid w:val="35EE3784"/>
    <w:rsid w:val="361C403D"/>
    <w:rsid w:val="363870C8"/>
    <w:rsid w:val="36BB5604"/>
    <w:rsid w:val="36C344B8"/>
    <w:rsid w:val="36F54FB9"/>
    <w:rsid w:val="370A20E7"/>
    <w:rsid w:val="370B658B"/>
    <w:rsid w:val="371116C7"/>
    <w:rsid w:val="372C02AF"/>
    <w:rsid w:val="3793375C"/>
    <w:rsid w:val="37A20571"/>
    <w:rsid w:val="37C329C2"/>
    <w:rsid w:val="37CB7AC8"/>
    <w:rsid w:val="37D56B99"/>
    <w:rsid w:val="37E172EC"/>
    <w:rsid w:val="38156F95"/>
    <w:rsid w:val="38211DDE"/>
    <w:rsid w:val="38606463"/>
    <w:rsid w:val="38A65E3F"/>
    <w:rsid w:val="38DC5D5B"/>
    <w:rsid w:val="391536F1"/>
    <w:rsid w:val="39225E0E"/>
    <w:rsid w:val="39846181"/>
    <w:rsid w:val="39C40C73"/>
    <w:rsid w:val="39D013C6"/>
    <w:rsid w:val="3A1514CF"/>
    <w:rsid w:val="3A326D59"/>
    <w:rsid w:val="3A543DA5"/>
    <w:rsid w:val="3AAC3BE1"/>
    <w:rsid w:val="3AEF3ACE"/>
    <w:rsid w:val="3B0F5F1E"/>
    <w:rsid w:val="3B716BD9"/>
    <w:rsid w:val="3BA42B0A"/>
    <w:rsid w:val="3BDF7FE6"/>
    <w:rsid w:val="3BF515B8"/>
    <w:rsid w:val="3C134AD0"/>
    <w:rsid w:val="3C2105FF"/>
    <w:rsid w:val="3C236125"/>
    <w:rsid w:val="3C29300F"/>
    <w:rsid w:val="3C2E0626"/>
    <w:rsid w:val="3C5E715D"/>
    <w:rsid w:val="3C8F5568"/>
    <w:rsid w:val="3C9568F7"/>
    <w:rsid w:val="3C97441D"/>
    <w:rsid w:val="3CD411CD"/>
    <w:rsid w:val="3D00498C"/>
    <w:rsid w:val="3D0C0967"/>
    <w:rsid w:val="3D4D6240"/>
    <w:rsid w:val="3D633A68"/>
    <w:rsid w:val="3DCC459A"/>
    <w:rsid w:val="3DEC2546"/>
    <w:rsid w:val="3DFD29A6"/>
    <w:rsid w:val="3E4B3711"/>
    <w:rsid w:val="3E774506"/>
    <w:rsid w:val="3E8F1850"/>
    <w:rsid w:val="3EA370A9"/>
    <w:rsid w:val="3EBD39DD"/>
    <w:rsid w:val="3EC51715"/>
    <w:rsid w:val="3EF94F1B"/>
    <w:rsid w:val="3F0B2EA0"/>
    <w:rsid w:val="3F5E1222"/>
    <w:rsid w:val="3F5E41D8"/>
    <w:rsid w:val="3F6727CC"/>
    <w:rsid w:val="3FC72C95"/>
    <w:rsid w:val="3FF878C8"/>
    <w:rsid w:val="3FFD4EDF"/>
    <w:rsid w:val="40297A82"/>
    <w:rsid w:val="404228F2"/>
    <w:rsid w:val="40DF6392"/>
    <w:rsid w:val="40E251F4"/>
    <w:rsid w:val="40E57E4D"/>
    <w:rsid w:val="41200E85"/>
    <w:rsid w:val="41391F47"/>
    <w:rsid w:val="41546D80"/>
    <w:rsid w:val="41A43864"/>
    <w:rsid w:val="41C55588"/>
    <w:rsid w:val="41E01CE7"/>
    <w:rsid w:val="42246753"/>
    <w:rsid w:val="422C2B78"/>
    <w:rsid w:val="42470693"/>
    <w:rsid w:val="42607D18"/>
    <w:rsid w:val="42B9333F"/>
    <w:rsid w:val="42C65A5C"/>
    <w:rsid w:val="42E3216A"/>
    <w:rsid w:val="4340580E"/>
    <w:rsid w:val="43452E25"/>
    <w:rsid w:val="438356FB"/>
    <w:rsid w:val="43C33D49"/>
    <w:rsid w:val="43F6411F"/>
    <w:rsid w:val="441B5933"/>
    <w:rsid w:val="444E3F5B"/>
    <w:rsid w:val="4456696C"/>
    <w:rsid w:val="4469669F"/>
    <w:rsid w:val="447B63D2"/>
    <w:rsid w:val="44C71617"/>
    <w:rsid w:val="44D2693A"/>
    <w:rsid w:val="45596713"/>
    <w:rsid w:val="45D71D2E"/>
    <w:rsid w:val="45E32481"/>
    <w:rsid w:val="45E701C3"/>
    <w:rsid w:val="462C5BD6"/>
    <w:rsid w:val="46326F64"/>
    <w:rsid w:val="46B362F7"/>
    <w:rsid w:val="46B61944"/>
    <w:rsid w:val="470B1C8F"/>
    <w:rsid w:val="475C698F"/>
    <w:rsid w:val="47D91D8D"/>
    <w:rsid w:val="48253225"/>
    <w:rsid w:val="4841716B"/>
    <w:rsid w:val="484E4529"/>
    <w:rsid w:val="486755EB"/>
    <w:rsid w:val="487970CD"/>
    <w:rsid w:val="48831CF9"/>
    <w:rsid w:val="48961A2D"/>
    <w:rsid w:val="48B40105"/>
    <w:rsid w:val="48E7672C"/>
    <w:rsid w:val="49060960"/>
    <w:rsid w:val="49A47ECE"/>
    <w:rsid w:val="49C03205"/>
    <w:rsid w:val="49D62A28"/>
    <w:rsid w:val="49E62540"/>
    <w:rsid w:val="49EB7B56"/>
    <w:rsid w:val="4A1E617D"/>
    <w:rsid w:val="4AC80D07"/>
    <w:rsid w:val="4ADF76BB"/>
    <w:rsid w:val="4B1F21AD"/>
    <w:rsid w:val="4B3043BA"/>
    <w:rsid w:val="4B3D53FF"/>
    <w:rsid w:val="4B427C4A"/>
    <w:rsid w:val="4B5010E7"/>
    <w:rsid w:val="4B63653E"/>
    <w:rsid w:val="4B8D35BB"/>
    <w:rsid w:val="4B977F95"/>
    <w:rsid w:val="4BB46D99"/>
    <w:rsid w:val="4C017B05"/>
    <w:rsid w:val="4C0373D9"/>
    <w:rsid w:val="4C0575F5"/>
    <w:rsid w:val="4C1B2975"/>
    <w:rsid w:val="4C667968"/>
    <w:rsid w:val="4CB46925"/>
    <w:rsid w:val="4CCC0113"/>
    <w:rsid w:val="4CFA4C80"/>
    <w:rsid w:val="4D432004"/>
    <w:rsid w:val="4D471547"/>
    <w:rsid w:val="4D665E71"/>
    <w:rsid w:val="4D693BB4"/>
    <w:rsid w:val="4D8C301A"/>
    <w:rsid w:val="4D8E7176"/>
    <w:rsid w:val="4DCE1C69"/>
    <w:rsid w:val="4E1E499E"/>
    <w:rsid w:val="4E2A50F1"/>
    <w:rsid w:val="4E2E2FF4"/>
    <w:rsid w:val="4E2F0959"/>
    <w:rsid w:val="4E323FA5"/>
    <w:rsid w:val="4E4F4B57"/>
    <w:rsid w:val="4E58172D"/>
    <w:rsid w:val="4E7520E4"/>
    <w:rsid w:val="4E872543"/>
    <w:rsid w:val="4E9C0A59"/>
    <w:rsid w:val="4ED92673"/>
    <w:rsid w:val="4EF1525F"/>
    <w:rsid w:val="4EF23735"/>
    <w:rsid w:val="4F0B3174"/>
    <w:rsid w:val="4F5D5052"/>
    <w:rsid w:val="4FB629B4"/>
    <w:rsid w:val="4FFA4F97"/>
    <w:rsid w:val="4FFC2ABD"/>
    <w:rsid w:val="50447FC0"/>
    <w:rsid w:val="50854860"/>
    <w:rsid w:val="50A4015D"/>
    <w:rsid w:val="50B11AF9"/>
    <w:rsid w:val="5116195C"/>
    <w:rsid w:val="51735001"/>
    <w:rsid w:val="51840FBC"/>
    <w:rsid w:val="51B82A14"/>
    <w:rsid w:val="51C21AE4"/>
    <w:rsid w:val="51DC2BA6"/>
    <w:rsid w:val="51F85506"/>
    <w:rsid w:val="5248023B"/>
    <w:rsid w:val="525A7F6F"/>
    <w:rsid w:val="530F48B5"/>
    <w:rsid w:val="5334431C"/>
    <w:rsid w:val="53422EDD"/>
    <w:rsid w:val="534236BD"/>
    <w:rsid w:val="5354676C"/>
    <w:rsid w:val="537F5EDF"/>
    <w:rsid w:val="538B4884"/>
    <w:rsid w:val="53937294"/>
    <w:rsid w:val="53AC47FA"/>
    <w:rsid w:val="53FA5565"/>
    <w:rsid w:val="54181E8F"/>
    <w:rsid w:val="547E7F44"/>
    <w:rsid w:val="54972DB4"/>
    <w:rsid w:val="54D16B80"/>
    <w:rsid w:val="551B5793"/>
    <w:rsid w:val="555536C4"/>
    <w:rsid w:val="55841D62"/>
    <w:rsid w:val="55AD03B6"/>
    <w:rsid w:val="55B17EA6"/>
    <w:rsid w:val="55F83D27"/>
    <w:rsid w:val="562E14F6"/>
    <w:rsid w:val="56372AA1"/>
    <w:rsid w:val="564E1B99"/>
    <w:rsid w:val="56585243"/>
    <w:rsid w:val="567535C9"/>
    <w:rsid w:val="56821842"/>
    <w:rsid w:val="56B440F1"/>
    <w:rsid w:val="574865E8"/>
    <w:rsid w:val="577C3602"/>
    <w:rsid w:val="57C57C38"/>
    <w:rsid w:val="57D63BF4"/>
    <w:rsid w:val="57D8796C"/>
    <w:rsid w:val="580249E9"/>
    <w:rsid w:val="58773629"/>
    <w:rsid w:val="587D0513"/>
    <w:rsid w:val="58922210"/>
    <w:rsid w:val="58D740C7"/>
    <w:rsid w:val="590D7AE9"/>
    <w:rsid w:val="592038AA"/>
    <w:rsid w:val="59570D64"/>
    <w:rsid w:val="59701E26"/>
    <w:rsid w:val="59B61F2F"/>
    <w:rsid w:val="59BD32BD"/>
    <w:rsid w:val="59F760A3"/>
    <w:rsid w:val="5A455061"/>
    <w:rsid w:val="5A47502D"/>
    <w:rsid w:val="5A694668"/>
    <w:rsid w:val="5A8464CE"/>
    <w:rsid w:val="5AD86008"/>
    <w:rsid w:val="5B3312E5"/>
    <w:rsid w:val="5B37709F"/>
    <w:rsid w:val="5B6F20DE"/>
    <w:rsid w:val="5BA509F2"/>
    <w:rsid w:val="5BA83AF9"/>
    <w:rsid w:val="5BAB5397"/>
    <w:rsid w:val="5BFD6D62"/>
    <w:rsid w:val="5BFE7BBD"/>
    <w:rsid w:val="5C294C3A"/>
    <w:rsid w:val="5C8F26F0"/>
    <w:rsid w:val="5C930305"/>
    <w:rsid w:val="5C966047"/>
    <w:rsid w:val="5D184CAE"/>
    <w:rsid w:val="5D375134"/>
    <w:rsid w:val="5D557CB0"/>
    <w:rsid w:val="5D5C103F"/>
    <w:rsid w:val="5D7A14C5"/>
    <w:rsid w:val="5DDB01B6"/>
    <w:rsid w:val="5DE66B5A"/>
    <w:rsid w:val="5E2022BD"/>
    <w:rsid w:val="5E2356B9"/>
    <w:rsid w:val="5EFF4473"/>
    <w:rsid w:val="5F13572D"/>
    <w:rsid w:val="5F1C2834"/>
    <w:rsid w:val="5F9F5213"/>
    <w:rsid w:val="5FA10F8B"/>
    <w:rsid w:val="60025ECE"/>
    <w:rsid w:val="60343BAD"/>
    <w:rsid w:val="60675D31"/>
    <w:rsid w:val="60C71F4C"/>
    <w:rsid w:val="60CC028A"/>
    <w:rsid w:val="60D62EB6"/>
    <w:rsid w:val="60DB227B"/>
    <w:rsid w:val="6162474A"/>
    <w:rsid w:val="61FF01EB"/>
    <w:rsid w:val="620953BE"/>
    <w:rsid w:val="623205C0"/>
    <w:rsid w:val="62327559"/>
    <w:rsid w:val="627D5CDF"/>
    <w:rsid w:val="62830E1C"/>
    <w:rsid w:val="62DE6052"/>
    <w:rsid w:val="630006BE"/>
    <w:rsid w:val="630261E5"/>
    <w:rsid w:val="631C3299"/>
    <w:rsid w:val="631F6D97"/>
    <w:rsid w:val="63302D52"/>
    <w:rsid w:val="638B61DA"/>
    <w:rsid w:val="63AE604C"/>
    <w:rsid w:val="63E853DA"/>
    <w:rsid w:val="641C32D6"/>
    <w:rsid w:val="64354398"/>
    <w:rsid w:val="643E149E"/>
    <w:rsid w:val="64515C6C"/>
    <w:rsid w:val="64634A61"/>
    <w:rsid w:val="646B1B68"/>
    <w:rsid w:val="64990483"/>
    <w:rsid w:val="64C179D9"/>
    <w:rsid w:val="64FE478A"/>
    <w:rsid w:val="651D5558"/>
    <w:rsid w:val="6546685C"/>
    <w:rsid w:val="6557674D"/>
    <w:rsid w:val="656C403D"/>
    <w:rsid w:val="65744A4C"/>
    <w:rsid w:val="657D1B52"/>
    <w:rsid w:val="65A90B99"/>
    <w:rsid w:val="65F84571"/>
    <w:rsid w:val="65FC6F1B"/>
    <w:rsid w:val="66014531"/>
    <w:rsid w:val="660B1854"/>
    <w:rsid w:val="66501015"/>
    <w:rsid w:val="66897B53"/>
    <w:rsid w:val="6692162D"/>
    <w:rsid w:val="66A17AC3"/>
    <w:rsid w:val="66D103A8"/>
    <w:rsid w:val="66F61BBC"/>
    <w:rsid w:val="670B521C"/>
    <w:rsid w:val="670C13E0"/>
    <w:rsid w:val="671D539B"/>
    <w:rsid w:val="672901E4"/>
    <w:rsid w:val="673D3C8F"/>
    <w:rsid w:val="679A2E90"/>
    <w:rsid w:val="67B101D9"/>
    <w:rsid w:val="67D22629"/>
    <w:rsid w:val="67F56318"/>
    <w:rsid w:val="682B3AE8"/>
    <w:rsid w:val="685C1EF3"/>
    <w:rsid w:val="68AF64C7"/>
    <w:rsid w:val="68CA50AF"/>
    <w:rsid w:val="68F137AB"/>
    <w:rsid w:val="693D12DC"/>
    <w:rsid w:val="694F7CAA"/>
    <w:rsid w:val="69E76134"/>
    <w:rsid w:val="6A4B221F"/>
    <w:rsid w:val="6A6E23B2"/>
    <w:rsid w:val="6A9242F2"/>
    <w:rsid w:val="6AE52674"/>
    <w:rsid w:val="6AF02DC7"/>
    <w:rsid w:val="6AF97E0E"/>
    <w:rsid w:val="6B1E7934"/>
    <w:rsid w:val="6B6A4927"/>
    <w:rsid w:val="6BB838E4"/>
    <w:rsid w:val="6BC229B5"/>
    <w:rsid w:val="6C686C2A"/>
    <w:rsid w:val="6C6D2921"/>
    <w:rsid w:val="6C89702F"/>
    <w:rsid w:val="6C93452C"/>
    <w:rsid w:val="6CB30FA0"/>
    <w:rsid w:val="6CB542C8"/>
    <w:rsid w:val="6CB73B9C"/>
    <w:rsid w:val="6CF44DF0"/>
    <w:rsid w:val="6D14141C"/>
    <w:rsid w:val="6D4443C1"/>
    <w:rsid w:val="6D5E05DA"/>
    <w:rsid w:val="6D7970A3"/>
    <w:rsid w:val="6DA63788"/>
    <w:rsid w:val="6DC5678C"/>
    <w:rsid w:val="6DC72505"/>
    <w:rsid w:val="6E423939"/>
    <w:rsid w:val="6EA03D74"/>
    <w:rsid w:val="6F101C89"/>
    <w:rsid w:val="6F3E2352"/>
    <w:rsid w:val="6F8F7052"/>
    <w:rsid w:val="6FC36CFC"/>
    <w:rsid w:val="6FE0340A"/>
    <w:rsid w:val="70025A76"/>
    <w:rsid w:val="700370F8"/>
    <w:rsid w:val="705D4A5A"/>
    <w:rsid w:val="709D12FB"/>
    <w:rsid w:val="70C40F7D"/>
    <w:rsid w:val="71017ADB"/>
    <w:rsid w:val="711E68DF"/>
    <w:rsid w:val="714838BE"/>
    <w:rsid w:val="717402AD"/>
    <w:rsid w:val="71997D14"/>
    <w:rsid w:val="71C31235"/>
    <w:rsid w:val="71C70D25"/>
    <w:rsid w:val="725A0B0C"/>
    <w:rsid w:val="7264746C"/>
    <w:rsid w:val="72A9667D"/>
    <w:rsid w:val="72BB3CBA"/>
    <w:rsid w:val="72FD2105"/>
    <w:rsid w:val="73076EFF"/>
    <w:rsid w:val="73774085"/>
    <w:rsid w:val="737A3B75"/>
    <w:rsid w:val="739C3AEB"/>
    <w:rsid w:val="73CF3EC1"/>
    <w:rsid w:val="741E2752"/>
    <w:rsid w:val="74597C2E"/>
    <w:rsid w:val="748F53FE"/>
    <w:rsid w:val="74D13C69"/>
    <w:rsid w:val="751029E3"/>
    <w:rsid w:val="759A405B"/>
    <w:rsid w:val="75E8126A"/>
    <w:rsid w:val="766C1E9B"/>
    <w:rsid w:val="76AE24B4"/>
    <w:rsid w:val="76C676AB"/>
    <w:rsid w:val="76DD06A3"/>
    <w:rsid w:val="76FD2AF3"/>
    <w:rsid w:val="775B5A6C"/>
    <w:rsid w:val="77950F7E"/>
    <w:rsid w:val="779C67B0"/>
    <w:rsid w:val="77BC650A"/>
    <w:rsid w:val="77C47AB5"/>
    <w:rsid w:val="78000AED"/>
    <w:rsid w:val="783267CC"/>
    <w:rsid w:val="783C764B"/>
    <w:rsid w:val="784309DA"/>
    <w:rsid w:val="786D3CA8"/>
    <w:rsid w:val="786D5A56"/>
    <w:rsid w:val="786F17CF"/>
    <w:rsid w:val="787B63C5"/>
    <w:rsid w:val="7880578A"/>
    <w:rsid w:val="78C2280A"/>
    <w:rsid w:val="78D635FC"/>
    <w:rsid w:val="78FB7506"/>
    <w:rsid w:val="791505C8"/>
    <w:rsid w:val="79365456"/>
    <w:rsid w:val="79D02741"/>
    <w:rsid w:val="79DB3D4B"/>
    <w:rsid w:val="7A1D5EB1"/>
    <w:rsid w:val="7A45548A"/>
    <w:rsid w:val="7A513882"/>
    <w:rsid w:val="7A552C46"/>
    <w:rsid w:val="7A5A025C"/>
    <w:rsid w:val="7A684727"/>
    <w:rsid w:val="7A9B4AFD"/>
    <w:rsid w:val="7AED2E7F"/>
    <w:rsid w:val="7B3B0D46"/>
    <w:rsid w:val="7B51165F"/>
    <w:rsid w:val="7B580C40"/>
    <w:rsid w:val="7B6A2721"/>
    <w:rsid w:val="7B7670B7"/>
    <w:rsid w:val="7B86755B"/>
    <w:rsid w:val="7B9D6653"/>
    <w:rsid w:val="7BEE5100"/>
    <w:rsid w:val="7BF5023D"/>
    <w:rsid w:val="7C0E12FE"/>
    <w:rsid w:val="7C120DEF"/>
    <w:rsid w:val="7C127041"/>
    <w:rsid w:val="7C4422BF"/>
    <w:rsid w:val="7C4F1B5E"/>
    <w:rsid w:val="7C574A54"/>
    <w:rsid w:val="7C701FB9"/>
    <w:rsid w:val="7CF624BE"/>
    <w:rsid w:val="7D060228"/>
    <w:rsid w:val="7D197F5B"/>
    <w:rsid w:val="7D23702C"/>
    <w:rsid w:val="7D4E22FA"/>
    <w:rsid w:val="7D612BF7"/>
    <w:rsid w:val="7D67516A"/>
    <w:rsid w:val="7D6A4C5A"/>
    <w:rsid w:val="7D847ACA"/>
    <w:rsid w:val="7D985324"/>
    <w:rsid w:val="7DA2715F"/>
    <w:rsid w:val="7DC223A1"/>
    <w:rsid w:val="7E6D055E"/>
    <w:rsid w:val="7EDA4066"/>
    <w:rsid w:val="7EEC1DCB"/>
    <w:rsid w:val="7F005876"/>
    <w:rsid w:val="7F052E8D"/>
    <w:rsid w:val="7F1E5CFC"/>
    <w:rsid w:val="7F2350C1"/>
    <w:rsid w:val="7F606315"/>
    <w:rsid w:val="7F82097A"/>
    <w:rsid w:val="7FC71EF0"/>
    <w:rsid w:val="7FCA19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4"/>
    <w:autoRedefine/>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next w:val="1"/>
    <w:link w:val="18"/>
    <w:autoRedefine/>
    <w:semiHidden/>
    <w:unhideWhenUsed/>
    <w:qFormat/>
    <w:uiPriority w:val="9"/>
    <w:pPr>
      <w:keepNext/>
      <w:keepLines/>
      <w:spacing w:before="260" w:after="260" w:line="416" w:lineRule="auto"/>
      <w:outlineLvl w:val="2"/>
    </w:pPr>
    <w:rPr>
      <w:b/>
      <w:bCs/>
      <w:sz w:val="32"/>
      <w:szCs w:val="32"/>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autoRedefine/>
    <w:semiHidden/>
    <w:unhideWhenUsed/>
    <w:qFormat/>
    <w:uiPriority w:val="99"/>
    <w:pPr>
      <w:ind w:firstLine="420" w:firstLineChars="200"/>
    </w:pPr>
  </w:style>
  <w:style w:type="paragraph" w:styleId="5">
    <w:name w:val="Body Text"/>
    <w:basedOn w:val="1"/>
    <w:link w:val="20"/>
    <w:autoRedefine/>
    <w:semiHidden/>
    <w:unhideWhenUsed/>
    <w:qFormat/>
    <w:uiPriority w:val="99"/>
    <w:pPr>
      <w:spacing w:after="120"/>
    </w:pPr>
  </w:style>
  <w:style w:type="paragraph" w:styleId="6">
    <w:name w:val="Body Text Indent"/>
    <w:basedOn w:val="1"/>
    <w:next w:val="4"/>
    <w:link w:val="23"/>
    <w:autoRedefine/>
    <w:qFormat/>
    <w:uiPriority w:val="0"/>
    <w:pPr>
      <w:spacing w:after="120"/>
      <w:ind w:left="420" w:leftChars="200"/>
    </w:pPr>
    <w:rPr>
      <w:rFonts w:ascii="Times New Roman" w:hAnsi="Times New Roman" w:eastAsia="宋体" w:cs="Times New Roman"/>
      <w:szCs w:val="24"/>
    </w:rPr>
  </w:style>
  <w:style w:type="paragraph" w:styleId="7">
    <w:name w:val="footer"/>
    <w:basedOn w:val="1"/>
    <w:link w:val="16"/>
    <w:autoRedefine/>
    <w:unhideWhenUsed/>
    <w:qFormat/>
    <w:uiPriority w:val="99"/>
    <w:pPr>
      <w:tabs>
        <w:tab w:val="center" w:pos="4153"/>
        <w:tab w:val="right" w:pos="8306"/>
      </w:tabs>
      <w:snapToGrid w:val="0"/>
      <w:jc w:val="left"/>
    </w:pPr>
    <w:rPr>
      <w:sz w:val="18"/>
      <w:szCs w:val="18"/>
    </w:rPr>
  </w:style>
  <w:style w:type="paragraph" w:styleId="8">
    <w:name w:val="header"/>
    <w:basedOn w:val="1"/>
    <w:link w:val="1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Body Text 2"/>
    <w:basedOn w:val="1"/>
    <w:link w:val="17"/>
    <w:autoRedefine/>
    <w:qFormat/>
    <w:uiPriority w:val="0"/>
    <w:pPr>
      <w:spacing w:line="360" w:lineRule="auto"/>
    </w:pPr>
    <w:rPr>
      <w:rFonts w:ascii="Times New Roman" w:hAnsi="Times New Roman" w:eastAsia="宋体" w:cs="Times New Roman"/>
      <w:sz w:val="24"/>
      <w:szCs w:val="24"/>
    </w:rPr>
  </w:style>
  <w:style w:type="paragraph" w:styleId="10">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character" w:styleId="13">
    <w:name w:val="Hyperlink"/>
    <w:basedOn w:val="12"/>
    <w:autoRedefine/>
    <w:semiHidden/>
    <w:unhideWhenUsed/>
    <w:qFormat/>
    <w:uiPriority w:val="99"/>
    <w:rPr>
      <w:color w:val="0000FF"/>
      <w:u w:val="single"/>
    </w:rPr>
  </w:style>
  <w:style w:type="character" w:customStyle="1" w:styleId="14">
    <w:name w:val="标题 2 Char"/>
    <w:basedOn w:val="12"/>
    <w:link w:val="2"/>
    <w:autoRedefine/>
    <w:qFormat/>
    <w:uiPriority w:val="9"/>
    <w:rPr>
      <w:rFonts w:ascii="宋体" w:hAnsi="宋体" w:eastAsia="宋体" w:cs="宋体"/>
      <w:b/>
      <w:bCs/>
      <w:kern w:val="0"/>
      <w:sz w:val="36"/>
      <w:szCs w:val="36"/>
    </w:rPr>
  </w:style>
  <w:style w:type="character" w:customStyle="1" w:styleId="15">
    <w:name w:val="页眉 Char"/>
    <w:basedOn w:val="12"/>
    <w:link w:val="8"/>
    <w:autoRedefine/>
    <w:qFormat/>
    <w:uiPriority w:val="99"/>
    <w:rPr>
      <w:sz w:val="18"/>
      <w:szCs w:val="18"/>
    </w:rPr>
  </w:style>
  <w:style w:type="character" w:customStyle="1" w:styleId="16">
    <w:name w:val="页脚 Char"/>
    <w:basedOn w:val="12"/>
    <w:link w:val="7"/>
    <w:autoRedefine/>
    <w:qFormat/>
    <w:uiPriority w:val="99"/>
    <w:rPr>
      <w:sz w:val="18"/>
      <w:szCs w:val="18"/>
    </w:rPr>
  </w:style>
  <w:style w:type="character" w:customStyle="1" w:styleId="17">
    <w:name w:val="正文文本 2 Char"/>
    <w:basedOn w:val="12"/>
    <w:link w:val="9"/>
    <w:autoRedefine/>
    <w:qFormat/>
    <w:uiPriority w:val="0"/>
    <w:rPr>
      <w:rFonts w:ascii="Times New Roman" w:hAnsi="Times New Roman" w:eastAsia="宋体" w:cs="Times New Roman"/>
      <w:sz w:val="24"/>
      <w:szCs w:val="24"/>
    </w:rPr>
  </w:style>
  <w:style w:type="character" w:customStyle="1" w:styleId="18">
    <w:name w:val="标题 3 Char"/>
    <w:basedOn w:val="12"/>
    <w:link w:val="3"/>
    <w:autoRedefine/>
    <w:semiHidden/>
    <w:qFormat/>
    <w:uiPriority w:val="9"/>
    <w:rPr>
      <w:b/>
      <w:bCs/>
      <w:sz w:val="32"/>
      <w:szCs w:val="32"/>
    </w:rPr>
  </w:style>
  <w:style w:type="paragraph" w:styleId="19">
    <w:name w:val="List Paragraph"/>
    <w:basedOn w:val="1"/>
    <w:autoRedefine/>
    <w:qFormat/>
    <w:uiPriority w:val="1"/>
    <w:pPr>
      <w:ind w:firstLine="420" w:firstLineChars="200"/>
    </w:pPr>
  </w:style>
  <w:style w:type="character" w:customStyle="1" w:styleId="20">
    <w:name w:val="正文文本 Char"/>
    <w:basedOn w:val="12"/>
    <w:link w:val="5"/>
    <w:autoRedefine/>
    <w:semiHidden/>
    <w:qFormat/>
    <w:uiPriority w:val="99"/>
  </w:style>
  <w:style w:type="table" w:customStyle="1" w:styleId="21">
    <w:name w:val="Table Normal"/>
    <w:autoRedefine/>
    <w:semiHidden/>
    <w:unhideWhenUsed/>
    <w:qFormat/>
    <w:uiPriority w:val="2"/>
    <w:pPr>
      <w:widowControl w:val="0"/>
      <w:autoSpaceDE w:val="0"/>
      <w:autoSpaceDN w:val="0"/>
    </w:pPr>
    <w:rPr>
      <w:kern w:val="0"/>
      <w:sz w:val="22"/>
      <w:lang w:eastAsia="en-US"/>
    </w:rPr>
    <w:tblPr>
      <w:tblCellMar>
        <w:top w:w="0" w:type="dxa"/>
        <w:left w:w="0" w:type="dxa"/>
        <w:bottom w:w="0" w:type="dxa"/>
        <w:right w:w="0" w:type="dxa"/>
      </w:tblCellMar>
    </w:tblPr>
  </w:style>
  <w:style w:type="paragraph" w:customStyle="1" w:styleId="22">
    <w:name w:val="Table Paragraph"/>
    <w:basedOn w:val="1"/>
    <w:autoRedefine/>
    <w:qFormat/>
    <w:uiPriority w:val="1"/>
    <w:pPr>
      <w:autoSpaceDE w:val="0"/>
      <w:autoSpaceDN w:val="0"/>
      <w:jc w:val="left"/>
    </w:pPr>
    <w:rPr>
      <w:rFonts w:ascii="Noto Sans Mono CJK JP Bold" w:hAnsi="Noto Sans Mono CJK JP Bold" w:eastAsia="Noto Sans Mono CJK JP Bold" w:cs="Noto Sans Mono CJK JP Bold"/>
      <w:kern w:val="0"/>
      <w:sz w:val="22"/>
    </w:rPr>
  </w:style>
  <w:style w:type="character" w:customStyle="1" w:styleId="23">
    <w:name w:val="正文文本缩进 Char"/>
    <w:basedOn w:val="12"/>
    <w:link w:val="6"/>
    <w:autoRedefine/>
    <w:qFormat/>
    <w:uiPriority w:val="0"/>
    <w:rPr>
      <w:rFonts w:ascii="Times New Roman" w:hAnsi="Times New Roman" w:eastAsia="宋体" w:cs="Times New Roman"/>
      <w:szCs w:val="24"/>
    </w:rPr>
  </w:style>
  <w:style w:type="character" w:customStyle="1" w:styleId="24">
    <w:name w:val="NormalCharacter"/>
    <w:link w:val="25"/>
    <w:autoRedefine/>
    <w:qFormat/>
    <w:uiPriority w:val="0"/>
    <w:rPr>
      <w:rFonts w:ascii="Tahoma" w:hAnsi="Tahoma"/>
      <w:sz w:val="24"/>
      <w:szCs w:val="20"/>
    </w:rPr>
  </w:style>
  <w:style w:type="paragraph" w:customStyle="1" w:styleId="25">
    <w:name w:val="UserStyle_85"/>
    <w:basedOn w:val="1"/>
    <w:link w:val="24"/>
    <w:autoRedefine/>
    <w:qFormat/>
    <w:uiPriority w:val="0"/>
    <w:rPr>
      <w:rFonts w:ascii="Tahoma" w:hAnsi="Tahoma"/>
      <w:sz w:val="24"/>
      <w:szCs w:val="20"/>
    </w:rPr>
  </w:style>
  <w:style w:type="paragraph" w:customStyle="1" w:styleId="26">
    <w:name w:val="无间隔1"/>
    <w:autoRedefine/>
    <w:qFormat/>
    <w:uiPriority w:val="99"/>
    <w:pPr>
      <w:adjustRightInd w:val="0"/>
      <w:snapToGrid w:val="0"/>
    </w:pPr>
    <w:rPr>
      <w:rFonts w:ascii="Tahoma" w:hAnsi="Tahoma" w:eastAsia="微软雅黑" w:cs="Times New Roman"/>
      <w:kern w:val="0"/>
      <w:sz w:val="22"/>
      <w:szCs w:val="22"/>
      <w:lang w:val="en-US" w:eastAsia="zh-CN" w:bidi="ar-SA"/>
    </w:rPr>
  </w:style>
  <w:style w:type="paragraph" w:customStyle="1" w:styleId="27">
    <w:name w:val="无间隔11"/>
    <w:autoRedefine/>
    <w:qFormat/>
    <w:uiPriority w:val="1"/>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2012dnd.com</Company>
  <Pages>7</Pages>
  <Words>3961</Words>
  <Characters>4264</Characters>
  <Lines>24</Lines>
  <Paragraphs>6</Paragraphs>
  <TotalTime>18</TotalTime>
  <ScaleCrop>false</ScaleCrop>
  <LinksUpToDate>false</LinksUpToDate>
  <CharactersWithSpaces>4353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2023-02-19T07:22:00Z</dcterms:created>
  <dc:creator>Administrator</dc:creator>
  <cp:lastModifiedBy>你脸红什么</cp:lastModifiedBy>
  <cp:lastPrinted>2023-02-24T07:32:00Z</cp:lastPrinted>
  <dcterms:modified xsi:type="dcterms:W3CDTF">2025-04-01T08:44:05Z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08F26063748B42E6B657C9A4A07026A5_13</vt:lpwstr>
  </property>
  <property fmtid="{D5CDD505-2E9C-101B-9397-08002B2CF9AE}" pid="4" name="KSOTemplateDocerSaveRecord">
    <vt:lpwstr>eyJoZGlkIjoiYmQ0MTljNmNjNTViMzNjODE5NjgzYTYzYWU4NTU1OGIiLCJ1c2VySWQiOiIyOTE2NjI1ODMifQ==</vt:lpwstr>
  </property>
</Properties>
</file>