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/>
        <w:spacing w:line="240" w:lineRule="auto"/>
        <w:contextualSpacing/>
        <w:jc w:val="center"/>
        <w:rPr>
          <w:rFonts w:hint="eastAsia" w:ascii="Times New Roman" w:hAnsi="宋体" w:eastAsia="黑体"/>
          <w:sz w:val="44"/>
          <w:szCs w:val="48"/>
        </w:rPr>
      </w:pPr>
      <w:r>
        <w:rPr>
          <w:rFonts w:hint="eastAsia" w:ascii="Times New Roman" w:hAnsi="宋体" w:eastAsia="黑体"/>
          <w:sz w:val="52"/>
          <w:szCs w:val="52"/>
          <w:lang w:val="en-US" w:eastAsia="zh-CN"/>
        </w:rPr>
        <w:t>登封少林中学</w:t>
      </w:r>
      <w:r>
        <w:rPr>
          <w:rFonts w:hint="eastAsia" w:ascii="Times New Roman" w:hAnsi="宋体" w:eastAsia="黑体"/>
          <w:sz w:val="52"/>
          <w:szCs w:val="52"/>
          <w:lang w:eastAsia="zh-CN"/>
        </w:rPr>
        <w:t>学生课桌凳</w:t>
      </w:r>
      <w:r>
        <w:rPr>
          <w:rFonts w:hint="eastAsia" w:ascii="Times New Roman" w:hAnsi="宋体" w:eastAsia="黑体"/>
          <w:sz w:val="52"/>
          <w:szCs w:val="52"/>
        </w:rPr>
        <w:t>采购</w:t>
      </w:r>
    </w:p>
    <w:p>
      <w:pPr>
        <w:pStyle w:val="4"/>
        <w:adjustRightInd/>
        <w:spacing w:line="440" w:lineRule="exact"/>
        <w:ind w:firstLine="411" w:firstLineChars="49"/>
        <w:contextualSpacing/>
        <w:jc w:val="center"/>
        <w:rPr>
          <w:rFonts w:ascii="Times New Roman" w:hAnsi="Times New Roman"/>
          <w:b/>
          <w:bCs/>
          <w:spacing w:val="-8"/>
        </w:rPr>
      </w:pPr>
      <w:r>
        <w:rPr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69215</wp:posOffset>
                </wp:positionV>
                <wp:extent cx="5228590" cy="17780"/>
                <wp:effectExtent l="0" t="28575" r="10160" b="298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1778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15pt;margin-top:5.45pt;height:1.4pt;width:411.7pt;z-index:251659264;mso-width-relative:page;mso-height-relative:page;" filled="f" stroked="t" coordsize="21600,21600" o:gfxdata="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xAa5NkAAAAIAQAADwAAAAAAAAABACAAAAAiAAAAZHJzL2Rvd25y&#10;ZXYueG1sUEsBAhQAFAAAAAgAh07iQP4D2UH9AQAA7wMAAA4AAAAAAAAAAQAgAAAAKAEAAGRycy9l&#10;Mm9Eb2MueG1sUEsFBgAAAAAGAAYAWQEAAJc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adjustRightInd/>
        <w:spacing w:line="440" w:lineRule="exact"/>
        <w:ind w:firstLine="95" w:firstLineChars="49"/>
        <w:contextualSpacing/>
        <w:jc w:val="center"/>
        <w:rPr>
          <w:rFonts w:ascii="Times New Roman" w:hAnsi="Times New Roman"/>
          <w:b/>
          <w:bCs/>
          <w:spacing w:val="-8"/>
        </w:rPr>
      </w:pPr>
    </w:p>
    <w:p>
      <w:pPr>
        <w:pStyle w:val="4"/>
        <w:adjustRightInd/>
        <w:spacing w:line="440" w:lineRule="exact"/>
        <w:ind w:firstLine="95" w:firstLineChars="49"/>
        <w:contextualSpacing/>
        <w:jc w:val="center"/>
        <w:rPr>
          <w:rFonts w:ascii="Times New Roman" w:hAnsi="Times New Roman"/>
          <w:b/>
          <w:bCs/>
          <w:spacing w:val="-8"/>
        </w:rPr>
      </w:pPr>
    </w:p>
    <w:p>
      <w:pPr>
        <w:pStyle w:val="4"/>
        <w:adjustRightInd/>
        <w:spacing w:line="440" w:lineRule="exact"/>
        <w:ind w:firstLine="95" w:firstLineChars="49"/>
        <w:contextualSpacing/>
        <w:jc w:val="center"/>
        <w:rPr>
          <w:rFonts w:ascii="Times New Roman" w:hAnsi="Times New Roman"/>
          <w:b/>
          <w:bCs/>
          <w:spacing w:val="-8"/>
        </w:rPr>
      </w:pPr>
    </w:p>
    <w:p>
      <w:pPr>
        <w:pStyle w:val="4"/>
        <w:adjustRightInd/>
        <w:spacing w:line="1600" w:lineRule="exact"/>
        <w:ind w:firstLine="95" w:firstLineChars="49"/>
        <w:contextualSpacing/>
        <w:jc w:val="center"/>
        <w:rPr>
          <w:rFonts w:hint="eastAsia" w:ascii="仿宋_GB2312" w:hAnsi="Times New Roman" w:eastAsia="仿宋_GB2312"/>
          <w:b/>
          <w:bCs/>
          <w:sz w:val="84"/>
          <w:szCs w:val="84"/>
        </w:rPr>
      </w:pPr>
      <w:r>
        <w:rPr>
          <w:rFonts w:ascii="Times New Roman" w:hAnsi="Times New Roman"/>
          <w:b/>
          <w:bCs/>
          <w:spacing w:val="-8"/>
        </w:rPr>
        <w:cr/>
      </w:r>
      <w:r>
        <w:rPr>
          <w:rFonts w:hint="eastAsia" w:ascii="仿宋_GB2312" w:eastAsia="仿宋_GB2312"/>
          <w:b/>
          <w:sz w:val="84"/>
          <w:szCs w:val="84"/>
        </w:rPr>
        <w:t>招 标 公 告</w:t>
      </w:r>
    </w:p>
    <w:p>
      <w:pPr>
        <w:adjustRightInd/>
        <w:spacing w:line="440" w:lineRule="exact"/>
        <w:contextualSpacing/>
        <w:jc w:val="center"/>
        <w:rPr>
          <w:rFonts w:hint="default" w:eastAsia="仿宋_GB2312"/>
          <w:sz w:val="36"/>
          <w:lang w:val="en-US" w:eastAsia="zh-CN"/>
        </w:rPr>
      </w:pPr>
      <w:r>
        <w:rPr>
          <w:rFonts w:hint="eastAsia" w:ascii="仿宋_GB2312" w:eastAsia="仿宋_GB2312"/>
          <w:b/>
          <w:sz w:val="52"/>
          <w:szCs w:val="52"/>
        </w:rPr>
        <w:cr/>
      </w:r>
      <w:r>
        <w:rPr>
          <w:rFonts w:hint="eastAsia" w:ascii="仿宋_GB2312" w:eastAsia="仿宋_GB2312"/>
          <w:sz w:val="48"/>
        </w:rPr>
        <w:cr/>
      </w:r>
      <w:r>
        <w:rPr>
          <w:rFonts w:hint="eastAsia" w:ascii="仿宋_GB2312" w:hAnsi="宋体" w:eastAsia="仿宋_GB2312"/>
          <w:b/>
          <w:sz w:val="32"/>
          <w:szCs w:val="32"/>
        </w:rPr>
        <w:t>项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目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编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号：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SLZX20210809</w:t>
      </w:r>
    </w:p>
    <w:p>
      <w:pPr>
        <w:adjustRightInd/>
        <w:spacing w:line="440" w:lineRule="exact"/>
        <w:contextualSpacing/>
        <w:jc w:val="center"/>
        <w:rPr>
          <w:sz w:val="36"/>
        </w:rPr>
      </w:pPr>
    </w:p>
    <w:p>
      <w:pPr>
        <w:adjustRightInd/>
        <w:spacing w:line="440" w:lineRule="exact"/>
        <w:contextualSpacing/>
        <w:jc w:val="center"/>
        <w:rPr>
          <w:rFonts w:hint="eastAsia"/>
          <w:sz w:val="36"/>
        </w:rPr>
      </w:pPr>
    </w:p>
    <w:p>
      <w:pPr>
        <w:adjustRightInd/>
        <w:spacing w:line="440" w:lineRule="exact"/>
        <w:contextualSpacing/>
        <w:jc w:val="center"/>
        <w:rPr>
          <w:rFonts w:hint="eastAsia"/>
          <w:sz w:val="36"/>
        </w:rPr>
      </w:pPr>
    </w:p>
    <w:p>
      <w:pPr>
        <w:adjustRightInd/>
        <w:spacing w:line="440" w:lineRule="exact"/>
        <w:contextualSpacing/>
        <w:jc w:val="center"/>
        <w:rPr>
          <w:sz w:val="36"/>
        </w:rPr>
      </w:pPr>
    </w:p>
    <w:p>
      <w:pPr>
        <w:adjustRightInd/>
        <w:spacing w:line="440" w:lineRule="exact"/>
        <w:contextualSpacing/>
        <w:jc w:val="center"/>
        <w:rPr>
          <w:sz w:val="36"/>
        </w:rPr>
      </w:pPr>
    </w:p>
    <w:p>
      <w:pPr>
        <w:adjustRightInd/>
        <w:spacing w:line="440" w:lineRule="exact"/>
        <w:contextualSpacing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067425" cy="0"/>
                <wp:effectExtent l="0" t="9525" r="952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9.7pt;height:0pt;width:477.75pt;z-index:251660288;mso-width-relative:page;mso-height-relative:page;" filled="f" stroked="t" coordsize="21600,21600" o:gfxdata="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QwjqzVAAAACQEAAA8AAAAAAAAAAQAgAAAAIgAAAGRycy9kb3ducmV2LnhtbFBLAQIU&#10;ABQAAAAIAIdO4kAzqhZC9gEAAOUDAAAOAAAAAAAAAAEAIAAAACQ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/>
        <w:spacing w:line="440" w:lineRule="exact"/>
        <w:contextualSpacing/>
        <w:jc w:val="center"/>
        <w:rPr>
          <w:rFonts w:hint="eastAsia" w:eastAsia="宋体"/>
          <w:spacing w:val="30"/>
          <w:sz w:val="32"/>
          <w:szCs w:val="32"/>
          <w:lang w:val="en-US" w:eastAsia="zh-CN"/>
        </w:rPr>
      </w:pPr>
      <w:r>
        <w:rPr>
          <w:sz w:val="32"/>
          <w:szCs w:val="32"/>
        </w:rPr>
        <w:t>招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标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人：</w:t>
      </w:r>
      <w:r>
        <w:rPr>
          <w:rFonts w:hint="eastAsia"/>
          <w:sz w:val="32"/>
          <w:szCs w:val="32"/>
          <w:lang w:eastAsia="zh-CN"/>
        </w:rPr>
        <w:t>登封</w:t>
      </w:r>
      <w:r>
        <w:rPr>
          <w:rFonts w:hint="eastAsia"/>
          <w:sz w:val="32"/>
          <w:szCs w:val="32"/>
        </w:rPr>
        <w:t>少林</w:t>
      </w:r>
      <w:r>
        <w:rPr>
          <w:rFonts w:hint="eastAsia"/>
          <w:sz w:val="32"/>
          <w:szCs w:val="32"/>
          <w:lang w:val="en-US" w:eastAsia="zh-CN"/>
        </w:rPr>
        <w:t>中学</w:t>
      </w:r>
    </w:p>
    <w:p>
      <w:pPr>
        <w:adjustRightInd/>
        <w:spacing w:line="440" w:lineRule="exact"/>
        <w:ind w:firstLine="3360" w:firstLineChars="1050"/>
        <w:contextualSpacing/>
        <w:jc w:val="center"/>
        <w:rPr>
          <w:rFonts w:hint="eastAsia"/>
          <w:sz w:val="32"/>
          <w:szCs w:val="32"/>
        </w:rPr>
      </w:pPr>
    </w:p>
    <w:p>
      <w:pPr>
        <w:adjustRightInd/>
        <w:spacing w:line="440" w:lineRule="exact"/>
        <w:contextualSpacing/>
        <w:jc w:val="center"/>
        <w:rPr>
          <w:rFonts w:hint="eastAsia"/>
          <w:sz w:val="32"/>
          <w:szCs w:val="32"/>
        </w:rPr>
      </w:pPr>
    </w:p>
    <w:p>
      <w:pPr>
        <w:adjustRightInd/>
        <w:spacing w:line="440" w:lineRule="exact"/>
        <w:contextualSpacing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</w:p>
    <w:p>
      <w:pPr>
        <w:adjustRightInd/>
        <w:spacing w:line="440" w:lineRule="exact"/>
        <w:contextualSpacing/>
        <w:rPr>
          <w:rFonts w:hint="eastAsia"/>
          <w:b/>
          <w:sz w:val="48"/>
          <w:szCs w:val="48"/>
        </w:rPr>
      </w:pPr>
    </w:p>
    <w:p>
      <w:pPr>
        <w:adjustRightInd/>
        <w:spacing w:line="440" w:lineRule="exact"/>
        <w:contextualSpacing/>
        <w:rPr>
          <w:rFonts w:hint="eastAsia"/>
          <w:b/>
          <w:sz w:val="48"/>
          <w:szCs w:val="48"/>
        </w:rPr>
      </w:pPr>
    </w:p>
    <w:p>
      <w:pPr>
        <w:adjustRightInd/>
        <w:spacing w:line="440" w:lineRule="exact"/>
        <w:contextualSpacing/>
        <w:rPr>
          <w:rFonts w:hint="eastAsia"/>
          <w:b/>
          <w:sz w:val="48"/>
          <w:szCs w:val="48"/>
        </w:rPr>
      </w:pPr>
    </w:p>
    <w:p>
      <w:pPr>
        <w:adjustRightInd/>
        <w:spacing w:line="440" w:lineRule="exact"/>
        <w:contextualSpacing/>
        <w:rPr>
          <w:rFonts w:hint="eastAsia"/>
          <w:b/>
          <w:sz w:val="48"/>
          <w:szCs w:val="48"/>
        </w:rPr>
      </w:pPr>
    </w:p>
    <w:p>
      <w:pPr>
        <w:adjustRightInd/>
        <w:spacing w:line="440" w:lineRule="exact"/>
        <w:contextualSpacing/>
        <w:rPr>
          <w:rFonts w:hint="eastAsia"/>
          <w:sz w:val="36"/>
          <w:szCs w:val="36"/>
        </w:rPr>
      </w:pPr>
    </w:p>
    <w:p>
      <w:pPr>
        <w:adjustRightInd/>
        <w:spacing w:line="420" w:lineRule="exact"/>
        <w:contextualSpacing/>
        <w:jc w:val="right"/>
        <w:rPr>
          <w:rFonts w:hAnsi="宋体"/>
          <w:szCs w:val="21"/>
        </w:rPr>
      </w:pPr>
    </w:p>
    <w:p>
      <w:pPr>
        <w:numPr>
          <w:ilvl w:val="0"/>
          <w:numId w:val="1"/>
        </w:numPr>
        <w:adjustRightInd/>
        <w:spacing w:line="420" w:lineRule="exact"/>
        <w:contextualSpacing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项目名称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登封少林中学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学生课桌凳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采购</w:t>
      </w:r>
    </w:p>
    <w:p>
      <w:pPr>
        <w:adjustRightInd/>
        <w:spacing w:line="420" w:lineRule="exact"/>
        <w:ind w:left="720"/>
        <w:contextualSpacing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numPr>
          <w:ilvl w:val="0"/>
          <w:numId w:val="1"/>
        </w:numPr>
        <w:adjustRightInd/>
        <w:spacing w:line="420" w:lineRule="exact"/>
        <w:contextualSpacing/>
        <w:rPr>
          <w:rFonts w:ascii="仿宋_GB2312" w:eastAsia="仿宋_GB2312"/>
          <w:b/>
          <w:color w:val="000000"/>
          <w:sz w:val="30"/>
          <w:szCs w:val="30"/>
          <w:lang w:val="en-US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项目编号：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SLZX20210809</w:t>
      </w:r>
    </w:p>
    <w:p>
      <w:pPr>
        <w:adjustRightInd/>
        <w:spacing w:line="420" w:lineRule="exact"/>
        <w:contextualSpacing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numPr>
          <w:ilvl w:val="0"/>
          <w:numId w:val="1"/>
        </w:numPr>
        <w:adjustRightInd/>
        <w:spacing w:line="420" w:lineRule="exact"/>
        <w:contextualSpacing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建设单位：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登封少林中学</w:t>
      </w:r>
    </w:p>
    <w:p>
      <w:pPr>
        <w:adjustRightInd/>
        <w:spacing w:line="420" w:lineRule="exact"/>
        <w:contextualSpacing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numPr>
          <w:ilvl w:val="0"/>
          <w:numId w:val="1"/>
        </w:numPr>
        <w:adjustRightInd/>
        <w:spacing w:line="420" w:lineRule="exact"/>
        <w:contextualSpacing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建设地点：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登封少林中学</w:t>
      </w:r>
    </w:p>
    <w:p>
      <w:pPr>
        <w:adjustRightInd/>
        <w:spacing w:line="420" w:lineRule="exact"/>
        <w:contextualSpacing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adjustRightInd/>
        <w:spacing w:line="420" w:lineRule="exact"/>
        <w:contextualSpacing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五、招标内容：</w:t>
      </w:r>
    </w:p>
    <w:p>
      <w:pPr>
        <w:adjustRightInd/>
        <w:spacing w:line="420" w:lineRule="exact"/>
        <w:ind w:left="630" w:leftChars="300" w:firstLine="300" w:firstLineChars="100"/>
        <w:contextualSpacing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登封少林中学现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需采购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学生单人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可升降双层桌斗标准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课桌凳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3000套，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将通过询价采购的方式进行，以期得到合格商品。欢迎合格的供应商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及厂家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参加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，报价需包含运费、人工费、税费等。</w:t>
      </w:r>
    </w:p>
    <w:tbl>
      <w:tblPr>
        <w:tblStyle w:val="7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25"/>
        <w:gridCol w:w="7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双层桌斗升降课桌凳技术参数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9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升降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整体规格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665*465*（680-760）mm钢木结构，可升降；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桌面规格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665mm*465mm*25㎜（±1mm）；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桌面材质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课桌面为665mm*465mm*25㎜（±1mm）厚中纤密度板，四周用无接头一次注塑封边成型，靠身体一侧内凹鸭嘴边设计，其余三边为圆边， ,桌面前方并延伸至桌面两侧中间位置设置挡书线条不低于5mm，中间有与边缘分体独立笔槽长280mm宽40mm，并携带刻度尺,左右上角各有一个独立分体杯槽直径为85mm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桌斗规格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宽度500mm，深度350mm,侧板高度380mm,用0.9mm厚冷轧板一次性冲压成型，上层斗高170mm,下层斗桌斗高210mm,板材不低于0.6mm厚冷轧板冲压成型；侧面带塑料书包挂钩；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桌腿桌撑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主管采用30mm×60mm×1.2mm椭圆管，升降管20mm×50mm×1.2mm椭圆管；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升降侧板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总高度380mm，深度350mm；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升降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双立腿升降结构，升降侧板和立腿配合紧密，采用防退螺帽；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脚垫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脚套采用橡胶塑料注模成型，自锁扣加固；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钢材必须符合国家相关标准，焊接采用二氧化碳保护焊焊接，保证焊缝平整光滑，无漏焊、假焊，焊接后保证整体平稳，桌架无倾斜等不良现象，放置平稳，无晃动，经喷砂抛丸去油除锈处理，静电喷塑，高温固化，钢架部分为灰白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升降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整体规格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360*250*（380-430）mm钢木结构，可升降；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凳面规格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360*250</w:t>
            </w:r>
            <w:r>
              <w:rPr>
                <w:rFonts w:hint="eastAsia" w:ascii="宋体" w:hAnsi="宋体" w:cs="宋体"/>
                <w:szCs w:val="21"/>
              </w:rPr>
              <w:t>*25㎜（±1mm）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凳面材质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厚中纤密度板，四周用无接头一次注塑封边成型；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凳腿桌撑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主管采用25mm×50mm×1.2mm椭圆管，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升降片1.0mm厚冷轧板冲压成形；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升降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双立腿升降结构，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升降片采用1.0mm厚冷轧板冲压成形，</w:t>
            </w:r>
            <w:r>
              <w:rPr>
                <w:rFonts w:hint="eastAsia" w:ascii="宋体" w:hAnsi="宋体" w:cs="宋体"/>
                <w:szCs w:val="21"/>
              </w:rPr>
              <w:t>和立腿配合紧密，采用防退螺帽；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脚垫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脚套采用橡胶塑料注模成型，自锁扣加固；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组装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凳面与凳架采用马车栓螺丝连接，防退自锁螺母；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钢材必须符合国家相关标准，焊接采用二氧化碳保护焊焊接，保证焊缝平整光滑，无漏焊、假焊，经喷砂抛丸去油除锈处理，静电喷塑，高温固化。喷塑后外表光滑，整洁，焊接后保证整体平稳，桌架无倾斜等不良现象，放置平稳，无晃动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桌面板和凳面板颜色：橡木色，可按需方要求制作。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参考图样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（图样仅供参考，以文字要求为准）</w:t>
            </w:r>
          </w:p>
        </w:tc>
        <w:tc>
          <w:tcPr>
            <w:tcW w:w="7913" w:type="dxa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440180" cy="1920240"/>
                  <wp:effectExtent l="0" t="0" r="7620" b="3810"/>
                  <wp:docPr id="3" name="图片 1" descr="e6059d3433fa8a49a1fe8360a471b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e6059d3433fa8a49a1fe8360a471bb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94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注：投标时请带样品</w:t>
            </w:r>
          </w:p>
        </w:tc>
      </w:tr>
    </w:tbl>
    <w:p>
      <w:pPr>
        <w:adjustRightInd/>
        <w:spacing w:line="240" w:lineRule="auto"/>
        <w:contextualSpacing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numPr>
          <w:ilvl w:val="0"/>
          <w:numId w:val="0"/>
        </w:numPr>
        <w:adjustRightInd/>
        <w:spacing w:line="240" w:lineRule="auto"/>
        <w:ind w:leftChars="0"/>
        <w:contextualSpacing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质量要求：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务必保证设备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的质量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，报价方应保证其提供的设备在规定的使用寿命期内具有满意的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使用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性能。</w:t>
      </w:r>
    </w:p>
    <w:p>
      <w:pPr>
        <w:numPr>
          <w:ilvl w:val="0"/>
          <w:numId w:val="0"/>
        </w:numPr>
        <w:adjustRightInd/>
        <w:spacing w:line="240" w:lineRule="auto"/>
        <w:ind w:leftChars="0"/>
        <w:contextualSpacing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  <w:lang w:eastAsia="zh-CN"/>
        </w:rPr>
        <w:t>七、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售后服务要求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  <w:t xml:space="preserve"> ：</w:t>
      </w:r>
      <w:r>
        <w:rPr>
          <w:rFonts w:hint="eastAsia" w:ascii="仿宋_GB2312" w:eastAsia="仿宋_GB2312"/>
          <w:color w:val="000000"/>
          <w:sz w:val="30"/>
          <w:szCs w:val="30"/>
        </w:rPr>
        <w:t>三年上门保修</w:t>
      </w:r>
    </w:p>
    <w:p>
      <w:pPr>
        <w:numPr>
          <w:ilvl w:val="0"/>
          <w:numId w:val="0"/>
        </w:numPr>
        <w:adjustRightInd/>
        <w:spacing w:line="240" w:lineRule="auto"/>
        <w:ind w:leftChars="0"/>
        <w:contextualSpacing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  <w:lang w:eastAsia="zh-CN"/>
        </w:rPr>
        <w:t>八、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付款方式：</w:t>
      </w:r>
      <w:r>
        <w:rPr>
          <w:rFonts w:hint="eastAsia" w:ascii="仿宋_GB2312" w:eastAsia="仿宋_GB2312"/>
          <w:color w:val="000000"/>
          <w:sz w:val="30"/>
          <w:szCs w:val="30"/>
        </w:rPr>
        <w:t>中标后甲乙双方共同协商，最终以签订合同为准。</w:t>
      </w:r>
    </w:p>
    <w:p>
      <w:pPr>
        <w:numPr>
          <w:ilvl w:val="0"/>
          <w:numId w:val="0"/>
        </w:numPr>
        <w:adjustRightInd/>
        <w:spacing w:line="240" w:lineRule="auto"/>
        <w:ind w:leftChars="0"/>
        <w:contextualSpacing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  <w:lang w:eastAsia="zh-CN"/>
        </w:rPr>
        <w:t>九、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交货期：</w:t>
      </w:r>
      <w:r>
        <w:rPr>
          <w:rFonts w:hint="eastAsia" w:ascii="仿宋_GB2312" w:eastAsia="仿宋_GB2312"/>
          <w:color w:val="000000"/>
          <w:sz w:val="30"/>
          <w:szCs w:val="30"/>
        </w:rPr>
        <w:t>所有设备必须在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合同签订后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15</w:t>
      </w:r>
      <w:r>
        <w:rPr>
          <w:rFonts w:hint="eastAsia" w:ascii="仿宋_GB2312" w:eastAsia="仿宋_GB2312"/>
          <w:color w:val="000000"/>
          <w:sz w:val="30"/>
          <w:szCs w:val="30"/>
        </w:rPr>
        <w:t>日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内</w:t>
      </w:r>
      <w:r>
        <w:rPr>
          <w:rFonts w:hint="eastAsia" w:ascii="仿宋_GB2312" w:eastAsia="仿宋_GB2312"/>
          <w:color w:val="000000"/>
          <w:sz w:val="30"/>
          <w:szCs w:val="30"/>
        </w:rPr>
        <w:t>全部交货，并安装调试完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毕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adjustRightInd/>
        <w:spacing w:line="240" w:lineRule="auto"/>
        <w:contextualSpacing/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0"/>
          <w:szCs w:val="30"/>
          <w:lang w:eastAsia="zh-CN"/>
        </w:rPr>
        <w:t>十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/>
          <w:b/>
          <w:color w:val="000000"/>
          <w:spacing w:val="-6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公告发布之时起至20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 xml:space="preserve">年 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日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eastAsia="zh-CN"/>
        </w:rPr>
        <w:t>下午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6点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止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left"/>
        <w:textAlignment w:val="baseline"/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6"/>
          <w:sz w:val="30"/>
          <w:szCs w:val="30"/>
          <w:lang w:val="en-US" w:eastAsia="zh-CN"/>
        </w:rPr>
        <w:t>十一、投标人特别要求：</w:t>
      </w:r>
      <w:r>
        <w:rPr>
          <w:rFonts w:hint="eastAsia" w:ascii="仿宋_GB2312" w:eastAsia="仿宋_GB2312"/>
          <w:color w:val="auto"/>
          <w:spacing w:val="-6"/>
          <w:sz w:val="30"/>
          <w:szCs w:val="30"/>
          <w:lang w:val="en-US" w:eastAsia="zh-CN"/>
        </w:rPr>
        <w:t>投标人请携带3日内核酸检测报告，无核酸检测报告着将</w:t>
      </w:r>
      <w:r>
        <w:rPr>
          <w:rFonts w:hint="eastAsia" w:ascii="仿宋_GB2312" w:hAnsi="宋体" w:eastAsia="仿宋_GB2312"/>
          <w:b w:val="0"/>
          <w:bCs/>
          <w:color w:val="auto"/>
          <w:spacing w:val="-6"/>
          <w:sz w:val="30"/>
          <w:szCs w:val="30"/>
          <w:lang w:val="en-US" w:eastAsia="zh-CN"/>
        </w:rPr>
        <w:t>禁止入校参与投标。</w:t>
      </w:r>
    </w:p>
    <w:p>
      <w:pPr>
        <w:adjustRightInd/>
        <w:spacing w:line="240" w:lineRule="auto"/>
        <w:ind w:left="900" w:hanging="868" w:hangingChars="300"/>
        <w:contextualSpacing/>
        <w:rPr>
          <w:rFonts w:hint="eastAsia" w:ascii="仿宋_GB2312" w:eastAsia="仿宋_GB2312"/>
          <w:color w:val="000000"/>
          <w:spacing w:val="-6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pacing w:val="-6"/>
          <w:sz w:val="30"/>
          <w:szCs w:val="30"/>
          <w:lang w:val="en-US" w:eastAsia="zh-CN"/>
        </w:rPr>
        <w:t>十二、开标时间及地点：</w:t>
      </w:r>
      <w:r>
        <w:rPr>
          <w:rFonts w:hint="eastAsia" w:ascii="仿宋_GB2312" w:eastAsia="仿宋_GB2312"/>
          <w:b w:val="0"/>
          <w:bCs w:val="0"/>
          <w:color w:val="000000"/>
          <w:spacing w:val="-6"/>
          <w:sz w:val="30"/>
          <w:szCs w:val="30"/>
          <w:lang w:val="en-US" w:eastAsia="zh-CN"/>
        </w:rPr>
        <w:t>2021年8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月</w:t>
      </w:r>
      <w:r>
        <w:rPr>
          <w:rFonts w:ascii="仿宋_GB2312" w:eastAsia="仿宋_GB2312"/>
          <w:color w:val="000000"/>
          <w:spacing w:val="-6"/>
          <w:sz w:val="30"/>
          <w:szCs w:val="30"/>
        </w:rPr>
        <w:softHyphen/>
      </w:r>
      <w:r>
        <w:rPr>
          <w:rFonts w:ascii="仿宋_GB2312" w:eastAsia="仿宋_GB2312"/>
          <w:color w:val="000000"/>
          <w:spacing w:val="-6"/>
          <w:sz w:val="30"/>
          <w:szCs w:val="30"/>
        </w:rPr>
        <w:softHyphen/>
      </w:r>
      <w:r>
        <w:rPr>
          <w:rFonts w:ascii="仿宋_GB2312" w:eastAsia="仿宋_GB2312"/>
          <w:color w:val="000000"/>
          <w:spacing w:val="-6"/>
          <w:sz w:val="30"/>
          <w:szCs w:val="30"/>
        </w:rPr>
        <w:softHyphen/>
      </w:r>
      <w:r>
        <w:rPr>
          <w:rFonts w:ascii="仿宋_GB2312" w:eastAsia="仿宋_GB2312"/>
          <w:color w:val="000000"/>
          <w:spacing w:val="-6"/>
          <w:sz w:val="30"/>
          <w:szCs w:val="30"/>
        </w:rPr>
        <w:softHyphen/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 xml:space="preserve"> 9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日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下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午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3:00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开标，地点：</w:t>
      </w:r>
      <w:r>
        <w:rPr>
          <w:rFonts w:hint="eastAsia" w:ascii="仿宋_GB2312" w:eastAsia="仿宋_GB2312"/>
          <w:color w:val="000000"/>
          <w:spacing w:val="-6"/>
          <w:sz w:val="30"/>
          <w:szCs w:val="30"/>
          <w:lang w:val="en-US" w:eastAsia="zh-CN"/>
        </w:rPr>
        <w:t>塔沟教育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集团办公楼四楼会议室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。</w:t>
      </w:r>
      <w:bookmarkStart w:id="0" w:name="_GoBack"/>
      <w:bookmarkEnd w:id="0"/>
    </w:p>
    <w:p>
      <w:pPr>
        <w:adjustRightInd/>
        <w:spacing w:line="240" w:lineRule="auto"/>
        <w:contextualSpacing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十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、项目咨询：</w:t>
      </w:r>
    </w:p>
    <w:p>
      <w:pPr>
        <w:adjustRightInd/>
        <w:spacing w:line="240" w:lineRule="auto"/>
        <w:ind w:left="7158" w:leftChars="480" w:hanging="6150" w:hangingChars="2050"/>
        <w:contextualSpacing/>
        <w:rPr>
          <w:rFonts w:hint="eastAsia" w:ascii="仿宋_GB2312" w:eastAsia="仿宋_GB2312"/>
          <w:color w:val="000000"/>
          <w:sz w:val="30"/>
          <w:szCs w:val="30"/>
          <w:lang w:val="en-US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招标联系人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1.丁老师    </w:t>
      </w:r>
      <w:r>
        <w:rPr>
          <w:rFonts w:hint="eastAsia" w:ascii="仿宋_GB2312" w:eastAsia="仿宋_GB2312"/>
          <w:color w:val="000000"/>
          <w:sz w:val="30"/>
          <w:szCs w:val="30"/>
        </w:rPr>
        <w:t>联系电话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15343808222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</w:t>
      </w:r>
    </w:p>
    <w:p>
      <w:pPr>
        <w:adjustRightInd/>
        <w:spacing w:line="240" w:lineRule="auto"/>
        <w:contextualSpacing/>
        <w:rPr>
          <w:rFonts w:hint="default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      2.魏老师    </w:t>
      </w:r>
      <w:r>
        <w:rPr>
          <w:rFonts w:hint="eastAsia" w:ascii="仿宋_GB2312" w:eastAsia="仿宋_GB2312"/>
          <w:color w:val="000000"/>
          <w:sz w:val="30"/>
          <w:szCs w:val="30"/>
        </w:rPr>
        <w:t>联系电话：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13526438491</w:t>
      </w:r>
    </w:p>
    <w:p>
      <w:pPr>
        <w:adjustRightInd/>
        <w:spacing w:line="240" w:lineRule="auto"/>
        <w:ind w:left="412" w:leftChars="196" w:firstLine="450" w:firstLineChars="150"/>
        <w:contextualSpacing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</w:p>
    <w:p>
      <w:pPr>
        <w:adjustRightInd/>
        <w:spacing w:line="240" w:lineRule="auto"/>
        <w:ind w:left="412" w:leftChars="196" w:firstLine="1054" w:firstLineChars="350"/>
        <w:contextualSpacing/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地址：河南省登封市大禹路西段塔沟教育集团大禹校区 </w:t>
      </w:r>
    </w:p>
    <w:sectPr>
      <w:headerReference r:id="rId5" w:type="default"/>
      <w:footerReference r:id="rId6" w:type="default"/>
      <w:pgSz w:w="11907" w:h="16840"/>
      <w:pgMar w:top="1418" w:right="964" w:bottom="1134" w:left="964" w:header="851" w:footer="1077" w:gutter="0"/>
      <w:pgNumType w:start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left" w:pos="5550"/>
        <w:tab w:val="clear" w:pos="4153"/>
        <w:tab w:val="clear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 w:hAnsi="宋体" w:cs="方正小标宋简体"/>
        <w:bCs/>
        <w:color w:val="000000"/>
        <w:sz w:val="24"/>
        <w:szCs w:val="24"/>
        <w:lang w:eastAsia="zh-CN"/>
      </w:rPr>
      <w:t xml:space="preserve">                                     </w:t>
    </w:r>
    <w:r>
      <w:rPr>
        <w:rFonts w:hint="eastAsia" w:ascii="宋体" w:hAnsi="宋体" w:cs="方正小标宋简体"/>
        <w:bCs/>
        <w:color w:val="000000"/>
        <w:sz w:val="24"/>
        <w:szCs w:val="24"/>
        <w:lang w:val="en-US" w:eastAsia="zh-CN"/>
      </w:rPr>
      <w:t xml:space="preserve">                   </w:t>
    </w:r>
    <w:r>
      <w:rPr>
        <w:rFonts w:hint="eastAsia" w:ascii="宋体" w:hAnsi="宋体" w:cs="方正小标宋简体"/>
        <w:bCs/>
        <w:color w:val="000000"/>
        <w:sz w:val="24"/>
        <w:szCs w:val="24"/>
        <w:lang w:eastAsia="zh-CN"/>
      </w:rPr>
      <w:t xml:space="preserve"> </w:t>
    </w:r>
    <w:r>
      <w:rPr>
        <w:rFonts w:hint="eastAsia" w:ascii="宋体" w:hAnsi="宋体" w:cs="方正小标宋简体"/>
        <w:bCs/>
        <w:color w:val="000000"/>
        <w:sz w:val="24"/>
        <w:szCs w:val="24"/>
        <w:lang w:val="en-US" w:eastAsia="zh-CN"/>
      </w:rPr>
      <w:t>登封</w:t>
    </w:r>
    <w:r>
      <w:rPr>
        <w:rFonts w:hint="eastAsia" w:ascii="宋体" w:hAnsi="宋体" w:cs="方正小标宋简体"/>
        <w:bCs/>
        <w:color w:val="000000"/>
        <w:sz w:val="24"/>
        <w:szCs w:val="24"/>
      </w:rPr>
      <w:t>少林</w:t>
    </w:r>
    <w:r>
      <w:rPr>
        <w:rFonts w:hint="eastAsia" w:ascii="宋体" w:hAnsi="宋体" w:cs="方正小标宋简体"/>
        <w:bCs/>
        <w:color w:val="000000"/>
        <w:sz w:val="24"/>
        <w:szCs w:val="24"/>
        <w:lang w:val="en-US" w:eastAsia="zh-CN"/>
      </w:rPr>
      <w:t>中学</w:t>
    </w:r>
    <w:r>
      <w:rPr>
        <w:rFonts w:hint="eastAsia" w:ascii="宋体" w:hAnsi="宋体" w:cs="方正小标宋简体"/>
        <w:bCs/>
        <w:color w:val="000000"/>
        <w:sz w:val="24"/>
        <w:szCs w:val="24"/>
        <w:lang w:eastAsia="zh-CN"/>
      </w:rPr>
      <w:t>学生课桌凳</w:t>
    </w:r>
    <w:r>
      <w:rPr>
        <w:rFonts w:hint="eastAsia" w:ascii="宋体" w:hAnsi="宋体" w:cs="方正小标宋简体"/>
        <w:bCs/>
        <w:color w:val="000000"/>
        <w:sz w:val="24"/>
        <w:szCs w:val="24"/>
      </w:rPr>
      <w:t>采购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10E24"/>
    <w:multiLevelType w:val="multilevel"/>
    <w:tmpl w:val="0C210E2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84318"/>
    <w:rsid w:val="23187FF8"/>
    <w:rsid w:val="3B0020E8"/>
    <w:rsid w:val="3BE84318"/>
    <w:rsid w:val="4830149A"/>
    <w:rsid w:val="5D1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Plain Text"/>
    <w:basedOn w:val="1"/>
    <w:qFormat/>
    <w:uiPriority w:val="99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2021-08-02T03:24:00Z</dcterms:created>
  <dc:creator>美丽人生15343808222</dc:creator>
  <cp:lastModifiedBy>美丽人生15343808222</cp:lastModifiedBy>
  <dcterms:modified xsi:type="dcterms:W3CDTF">2021-08-02T10:38:37Z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1C9274FE1E8D401CB4052F2F43146E70</vt:lpwstr>
  </property>
</Properties>
</file>